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929DE">
      <w:pPr>
        <w:shd w:val="clear"/>
        <w:autoSpaceDE w:val="0"/>
        <w:autoSpaceDN w:val="0"/>
        <w:adjustRightInd w:val="0"/>
        <w:spacing w:after="0" w:line="240" w:lineRule="auto"/>
        <w:jc w:val="right"/>
        <w:rPr>
          <w:rFonts w:hint="default" w:ascii="Times New Roman" w:hAnsi="Times New Roman" w:eastAsia="Calibri" w:cs="Times New Roman"/>
          <w:color w:val="000000"/>
          <w:sz w:val="28"/>
          <w:szCs w:val="28"/>
          <w:highlight w:val="none"/>
        </w:rPr>
      </w:pPr>
      <w:r>
        <w:rPr>
          <w:rFonts w:hint="default" w:ascii="Times New Roman" w:hAnsi="Times New Roman" w:eastAsia="Calibri" w:cs="Times New Roman"/>
          <w:color w:val="000000"/>
          <w:sz w:val="28"/>
          <w:szCs w:val="28"/>
          <w:highlight w:val="none"/>
        </w:rPr>
        <w:t xml:space="preserve">  Ф НАО МУК 7-2-03/1 </w:t>
      </w:r>
    </w:p>
    <w:p w14:paraId="5C180F53">
      <w:pPr>
        <w:shd w:val="clear"/>
        <w:autoSpaceDE w:val="0"/>
        <w:autoSpaceDN w:val="0"/>
        <w:adjustRightInd w:val="0"/>
        <w:spacing w:after="0" w:line="240" w:lineRule="auto"/>
        <w:jc w:val="center"/>
        <w:rPr>
          <w:rFonts w:hint="default" w:ascii="Times New Roman" w:hAnsi="Times New Roman" w:eastAsia="Calibri" w:cs="Times New Roman"/>
          <w:color w:val="000000"/>
          <w:sz w:val="28"/>
          <w:szCs w:val="28"/>
          <w:highlight w:val="none"/>
        </w:rPr>
      </w:pPr>
    </w:p>
    <w:p w14:paraId="79FAEDBD">
      <w:pPr>
        <w:shd w:val="clear"/>
        <w:spacing w:after="0" w:line="240" w:lineRule="auto"/>
        <w:jc w:val="center"/>
        <w:rPr>
          <w:rFonts w:hint="default" w:ascii="Times New Roman" w:hAnsi="Times New Roman" w:eastAsia="Calibri" w:cs="Times New Roman"/>
          <w:b/>
          <w:sz w:val="28"/>
          <w:szCs w:val="28"/>
          <w:highlight w:val="none"/>
        </w:rPr>
      </w:pPr>
      <w:r>
        <w:rPr>
          <w:rFonts w:hint="default" w:ascii="Times New Roman" w:hAnsi="Times New Roman" w:eastAsia="Calibri" w:cs="Times New Roman"/>
          <w:color w:val="000000"/>
          <w:sz w:val="28"/>
          <w:szCs w:val="28"/>
          <w:highlight w:val="none"/>
          <w:lang w:val="ru-RU"/>
        </w:rPr>
        <w:t>НАО</w:t>
      </w:r>
      <w:r>
        <w:rPr>
          <w:rFonts w:hint="default" w:ascii="Times New Roman" w:hAnsi="Times New Roman" w:eastAsia="Calibri" w:cs="Times New Roman"/>
          <w:color w:val="000000"/>
          <w:sz w:val="28"/>
          <w:szCs w:val="28"/>
          <w:highlight w:val="none"/>
          <w:lang w:val="ru-RU"/>
        </w:rPr>
        <w:t xml:space="preserve"> </w:t>
      </w:r>
      <w:r>
        <w:rPr>
          <w:rFonts w:hint="default" w:ascii="Times New Roman" w:hAnsi="Times New Roman" w:eastAsia="Calibri" w:cs="Times New Roman"/>
          <w:color w:val="000000"/>
          <w:sz w:val="28"/>
          <w:szCs w:val="28"/>
          <w:highlight w:val="none"/>
        </w:rPr>
        <w:t>«КАРАГАНДИНСКИЙ МЕДИЦИНСКИЙ УНИВЕРСИТЕТ»</w:t>
      </w:r>
    </w:p>
    <w:p w14:paraId="2A7F7515">
      <w:pPr>
        <w:shd w:val="clear"/>
        <w:spacing w:after="0" w:line="240" w:lineRule="auto"/>
        <w:jc w:val="center"/>
        <w:rPr>
          <w:rFonts w:hint="default" w:ascii="Times New Roman" w:hAnsi="Times New Roman" w:eastAsia="Calibri" w:cs="Times New Roman"/>
          <w:b/>
          <w:sz w:val="28"/>
          <w:szCs w:val="28"/>
          <w:highlight w:val="none"/>
        </w:rPr>
      </w:pPr>
    </w:p>
    <w:p w14:paraId="76BB5F32">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0D4006B1">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6C4D5BC9">
      <w:pPr>
        <w:shd w:val="clear"/>
        <w:spacing w:after="0" w:line="240" w:lineRule="auto"/>
        <w:jc w:val="center"/>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АННОТАЦИЯ</w:t>
      </w:r>
    </w:p>
    <w:p w14:paraId="6EC723A8">
      <w:pPr>
        <w:shd w:val="clear"/>
        <w:spacing w:after="0" w:line="240" w:lineRule="auto"/>
        <w:jc w:val="center"/>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rPr>
        <w:t>диссертационной работы на соискание степени доктора философии (PhD)</w:t>
      </w:r>
    </w:p>
    <w:p w14:paraId="68AFC4C3">
      <w:pPr>
        <w:shd w:val="clear"/>
        <w:spacing w:after="0" w:line="240" w:lineRule="auto"/>
        <w:jc w:val="center"/>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rPr>
        <w:t>по специальности: 8D10100 «Медицина»</w:t>
      </w:r>
    </w:p>
    <w:p w14:paraId="3A1C59DC">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6CB031C6">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3E726580">
      <w:pPr>
        <w:shd w:val="clear"/>
        <w:spacing w:after="0" w:line="240" w:lineRule="auto"/>
        <w:jc w:val="both"/>
        <w:rPr>
          <w:rFonts w:hint="default" w:ascii="Times New Roman" w:hAnsi="Times New Roman" w:eastAsia="Calibri" w:cs="Times New Roman"/>
          <w:b/>
          <w:bCs/>
          <w:sz w:val="28"/>
          <w:szCs w:val="28"/>
          <w:highlight w:val="none"/>
        </w:rPr>
      </w:pPr>
    </w:p>
    <w:p w14:paraId="45ACC0FB">
      <w:pPr>
        <w:shd w:val="clear"/>
        <w:spacing w:after="0" w:line="240" w:lineRule="auto"/>
        <w:jc w:val="both"/>
        <w:rPr>
          <w:rFonts w:hint="default" w:ascii="Times New Roman" w:hAnsi="Times New Roman" w:eastAsia="Calibri" w:cs="Times New Roman"/>
          <w:b/>
          <w:bCs/>
          <w:sz w:val="28"/>
          <w:szCs w:val="28"/>
          <w:highlight w:val="none"/>
        </w:rPr>
      </w:pPr>
    </w:p>
    <w:p w14:paraId="0F744317">
      <w:pPr>
        <w:shd w:val="clear"/>
        <w:spacing w:after="0" w:line="240" w:lineRule="auto"/>
        <w:jc w:val="both"/>
        <w:rPr>
          <w:rFonts w:hint="default" w:ascii="Times New Roman" w:hAnsi="Times New Roman" w:eastAsia="Calibri" w:cs="Times New Roman"/>
          <w:b/>
          <w:bCs/>
          <w:sz w:val="28"/>
          <w:szCs w:val="28"/>
          <w:highlight w:val="none"/>
        </w:rPr>
      </w:pPr>
    </w:p>
    <w:p w14:paraId="7A3E7E07">
      <w:pPr>
        <w:shd w:val="clear"/>
        <w:spacing w:after="0" w:line="240" w:lineRule="auto"/>
        <w:jc w:val="both"/>
        <w:rPr>
          <w:rFonts w:hint="default" w:ascii="Times New Roman" w:hAnsi="Times New Roman" w:eastAsia="Calibri" w:cs="Times New Roman"/>
          <w:b/>
          <w:bCs/>
          <w:sz w:val="28"/>
          <w:szCs w:val="28"/>
          <w:highlight w:val="none"/>
        </w:rPr>
      </w:pPr>
    </w:p>
    <w:p w14:paraId="4A75C6FB">
      <w:pPr>
        <w:shd w:val="clear"/>
        <w:spacing w:after="0" w:line="240" w:lineRule="auto"/>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b/>
          <w:bCs/>
          <w:sz w:val="28"/>
          <w:szCs w:val="28"/>
          <w:highlight w:val="none"/>
        </w:rPr>
        <w:t xml:space="preserve">Тема: Ассоциация молекулярных маркеров воспаления и обмена железа у беременных женщин с </w:t>
      </w:r>
      <w:r>
        <w:rPr>
          <w:rFonts w:hint="default" w:ascii="Times New Roman" w:hAnsi="Times New Roman" w:eastAsia="Calibri" w:cs="Times New Roman"/>
          <w:b/>
          <w:bCs/>
          <w:sz w:val="28"/>
          <w:szCs w:val="28"/>
          <w:highlight w:val="none"/>
          <w:lang w:val="kk-KZ"/>
        </w:rPr>
        <w:t>предгестационным</w:t>
      </w:r>
      <w:r>
        <w:rPr>
          <w:rFonts w:hint="default" w:ascii="Times New Roman" w:hAnsi="Times New Roman" w:eastAsia="Calibri" w:cs="Times New Roman"/>
          <w:b/>
          <w:bCs/>
          <w:sz w:val="28"/>
          <w:szCs w:val="28"/>
          <w:highlight w:val="none"/>
        </w:rPr>
        <w:t xml:space="preserve"> ожирением</w:t>
      </w:r>
    </w:p>
    <w:p w14:paraId="235F6F84">
      <w:pPr>
        <w:shd w:val="clear"/>
        <w:tabs>
          <w:tab w:val="left" w:pos="0"/>
        </w:tabs>
        <w:spacing w:after="0" w:line="240" w:lineRule="auto"/>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rPr>
        <w:t xml:space="preserve"> </w:t>
      </w:r>
    </w:p>
    <w:p w14:paraId="1F45D6C0">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554C3547">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67A4C11A">
      <w:pPr>
        <w:shd w:val="clear"/>
        <w:spacing w:after="0" w:line="240" w:lineRule="auto"/>
        <w:jc w:val="both"/>
        <w:rPr>
          <w:rFonts w:hint="default" w:ascii="Times New Roman" w:hAnsi="Times New Roman" w:eastAsia="Calibri" w:cs="Times New Roman"/>
          <w:bCs/>
          <w:sz w:val="28"/>
          <w:szCs w:val="28"/>
          <w:highlight w:val="none"/>
          <w:lang w:val="kk-KZ"/>
        </w:rPr>
      </w:pPr>
      <w:r>
        <w:rPr>
          <w:rFonts w:hint="default" w:ascii="Times New Roman" w:hAnsi="Times New Roman" w:eastAsia="Calibri" w:cs="Times New Roman"/>
          <w:b/>
          <w:sz w:val="28"/>
          <w:szCs w:val="28"/>
          <w:highlight w:val="none"/>
        </w:rPr>
        <w:t xml:space="preserve">Исполнитель: </w:t>
      </w:r>
      <w:r>
        <w:rPr>
          <w:rFonts w:hint="default" w:ascii="Times New Roman" w:hAnsi="Times New Roman" w:eastAsia="Calibri" w:cs="Times New Roman"/>
          <w:bCs/>
          <w:sz w:val="28"/>
          <w:szCs w:val="28"/>
          <w:highlight w:val="none"/>
          <w:lang w:val="kk-KZ"/>
        </w:rPr>
        <w:t>Рүстембекқызы Жансая</w:t>
      </w:r>
    </w:p>
    <w:p w14:paraId="3690FA42">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72DD7A75">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Научный руководитель: </w:t>
      </w:r>
      <w:r>
        <w:rPr>
          <w:rFonts w:hint="default" w:ascii="Times New Roman" w:hAnsi="Times New Roman" w:eastAsia="Calibri" w:cs="Times New Roman"/>
          <w:sz w:val="28"/>
          <w:szCs w:val="28"/>
          <w:highlight w:val="none"/>
        </w:rPr>
        <w:t>Тайжанова Дана Жумагалиевна, д.м.н., профессор кафедры внутренних болезней, НАО «Карагандинский медицинский университет»,  Караганда, Казахстан</w:t>
      </w:r>
    </w:p>
    <w:p w14:paraId="3682E235">
      <w:pPr>
        <w:shd w:val="clear" w:color="auto"/>
        <w:spacing w:after="0" w:line="240" w:lineRule="auto"/>
        <w:jc w:val="both"/>
        <w:rPr>
          <w:rFonts w:hint="default" w:ascii="Times New Roman" w:hAnsi="Times New Roman" w:cs="Times New Roman"/>
          <w:sz w:val="28"/>
          <w:szCs w:val="28"/>
          <w:highlight w:val="none"/>
        </w:rPr>
      </w:pPr>
      <w:r>
        <w:rPr>
          <w:rFonts w:hint="default" w:ascii="Times New Roman" w:hAnsi="Times New Roman" w:eastAsia="Calibri" w:cs="Times New Roman"/>
          <w:b/>
          <w:bCs/>
          <w:sz w:val="28"/>
          <w:szCs w:val="28"/>
          <w:highlight w:val="none"/>
        </w:rPr>
        <w:t>Зарубежный научный консультант:</w:t>
      </w:r>
      <w:r>
        <w:rPr>
          <w:rFonts w:hint="default" w:ascii="Times New Roman" w:hAnsi="Times New Roman" w:eastAsia="Calibri" w:cs="Times New Roman"/>
          <w:b/>
          <w:sz w:val="28"/>
          <w:szCs w:val="28"/>
          <w:highlight w:val="none"/>
        </w:rPr>
        <w:t xml:space="preserve"> </w:t>
      </w:r>
      <w:r>
        <w:rPr>
          <w:rFonts w:hint="default" w:ascii="Times New Roman" w:hAnsi="Times New Roman" w:cs="Times New Roman"/>
          <w:sz w:val="28"/>
          <w:szCs w:val="28"/>
          <w:highlight w:val="none"/>
        </w:rPr>
        <w:t xml:space="preserve">Комличенко Эдуард Владимирович, </w:t>
      </w:r>
      <w:r>
        <w:rPr>
          <w:rFonts w:hint="default" w:ascii="Times New Roman" w:hAnsi="Times New Roman" w:eastAsia="Calibri" w:cs="Times New Roman"/>
          <w:sz w:val="28"/>
          <w:szCs w:val="28"/>
          <w:highlight w:val="none"/>
        </w:rPr>
        <w:t>д.м.н.</w:t>
      </w:r>
      <w:r>
        <w:rPr>
          <w:rFonts w:hint="default" w:ascii="Times New Roman" w:hAnsi="Times New Roman" w:cs="Times New Roman"/>
          <w:sz w:val="28"/>
          <w:szCs w:val="28"/>
          <w:highlight w:val="none"/>
        </w:rPr>
        <w:t>, профессор кафедры организации здравоохранения и общественного здоровья Института медицинского образования, доцент кафедры акушерства, гинекологии и репродуктологии Санкт-Петербургского государственного университета, г. Санкт-Петербург, Российская Федерация.</w:t>
      </w:r>
    </w:p>
    <w:p w14:paraId="562CE8C3">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13EA750E">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2499695D">
      <w:pPr>
        <w:shd w:val="clear"/>
        <w:spacing w:after="0" w:line="240" w:lineRule="auto"/>
        <w:jc w:val="both"/>
        <w:rPr>
          <w:rFonts w:hint="default" w:ascii="Times New Roman" w:hAnsi="Times New Roman" w:eastAsia="Calibri" w:cs="Times New Roman"/>
          <w:b/>
          <w:sz w:val="28"/>
          <w:szCs w:val="28"/>
          <w:highlight w:val="none"/>
        </w:rPr>
      </w:pPr>
    </w:p>
    <w:p w14:paraId="2C6BCF02">
      <w:pPr>
        <w:shd w:val="clear"/>
        <w:spacing w:after="0" w:line="240" w:lineRule="auto"/>
        <w:jc w:val="both"/>
        <w:rPr>
          <w:rFonts w:hint="default" w:ascii="Times New Roman" w:hAnsi="Times New Roman" w:eastAsia="Calibri" w:cs="Times New Roman"/>
          <w:b/>
          <w:sz w:val="28"/>
          <w:szCs w:val="28"/>
          <w:highlight w:val="none"/>
        </w:rPr>
      </w:pPr>
    </w:p>
    <w:p w14:paraId="3EF1385F">
      <w:pPr>
        <w:shd w:val="clear"/>
        <w:spacing w:after="0" w:line="240" w:lineRule="auto"/>
        <w:jc w:val="both"/>
        <w:rPr>
          <w:rFonts w:hint="default" w:ascii="Times New Roman" w:hAnsi="Times New Roman" w:eastAsia="Calibri" w:cs="Times New Roman"/>
          <w:b/>
          <w:sz w:val="28"/>
          <w:szCs w:val="28"/>
          <w:highlight w:val="none"/>
        </w:rPr>
      </w:pPr>
    </w:p>
    <w:p w14:paraId="470C7AA4">
      <w:pPr>
        <w:shd w:val="clear"/>
        <w:spacing w:after="0" w:line="240" w:lineRule="auto"/>
        <w:jc w:val="both"/>
        <w:rPr>
          <w:rFonts w:hint="default" w:ascii="Times New Roman" w:hAnsi="Times New Roman" w:eastAsia="Calibri" w:cs="Times New Roman"/>
          <w:b/>
          <w:sz w:val="28"/>
          <w:szCs w:val="28"/>
          <w:highlight w:val="none"/>
        </w:rPr>
      </w:pPr>
    </w:p>
    <w:p w14:paraId="44C9AF28">
      <w:pPr>
        <w:shd w:val="clear"/>
        <w:spacing w:after="0" w:line="240" w:lineRule="auto"/>
        <w:jc w:val="both"/>
        <w:rPr>
          <w:rFonts w:hint="default" w:ascii="Times New Roman" w:hAnsi="Times New Roman" w:eastAsia="Calibri" w:cs="Times New Roman"/>
          <w:b/>
          <w:sz w:val="28"/>
          <w:szCs w:val="28"/>
          <w:highlight w:val="none"/>
        </w:rPr>
      </w:pPr>
    </w:p>
    <w:p w14:paraId="0851799C">
      <w:pPr>
        <w:shd w:val="clear"/>
        <w:spacing w:after="0" w:line="240" w:lineRule="auto"/>
        <w:jc w:val="both"/>
        <w:rPr>
          <w:rFonts w:hint="default" w:ascii="Times New Roman" w:hAnsi="Times New Roman" w:eastAsia="Calibri" w:cs="Times New Roman"/>
          <w:b/>
          <w:sz w:val="28"/>
          <w:szCs w:val="28"/>
          <w:highlight w:val="none"/>
        </w:rPr>
      </w:pPr>
    </w:p>
    <w:p w14:paraId="38B3149D">
      <w:pPr>
        <w:shd w:val="clear"/>
        <w:spacing w:after="0" w:line="240" w:lineRule="auto"/>
        <w:jc w:val="both"/>
        <w:rPr>
          <w:rFonts w:hint="default" w:ascii="Times New Roman" w:hAnsi="Times New Roman" w:eastAsia="Calibri" w:cs="Times New Roman"/>
          <w:b/>
          <w:sz w:val="28"/>
          <w:szCs w:val="28"/>
          <w:highlight w:val="none"/>
        </w:rPr>
      </w:pPr>
    </w:p>
    <w:p w14:paraId="74962A3D">
      <w:pPr>
        <w:shd w:val="clear"/>
        <w:spacing w:after="0" w:line="240" w:lineRule="auto"/>
        <w:jc w:val="both"/>
        <w:rPr>
          <w:rFonts w:hint="default" w:ascii="Times New Roman" w:hAnsi="Times New Roman" w:eastAsia="Calibri" w:cs="Times New Roman"/>
          <w:b/>
          <w:sz w:val="28"/>
          <w:szCs w:val="28"/>
          <w:highlight w:val="none"/>
        </w:rPr>
      </w:pPr>
    </w:p>
    <w:p w14:paraId="492A94B0">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653EBD64">
      <w:pPr>
        <w:shd w:val="clear"/>
        <w:spacing w:after="0" w:line="240" w:lineRule="auto"/>
        <w:jc w:val="both"/>
        <w:rPr>
          <w:rFonts w:hint="default" w:ascii="Times New Roman" w:hAnsi="Times New Roman" w:eastAsia="Calibri" w:cs="Times New Roman"/>
          <w:b/>
          <w:sz w:val="28"/>
          <w:szCs w:val="28"/>
          <w:highlight w:val="none"/>
        </w:rPr>
      </w:pPr>
    </w:p>
    <w:p w14:paraId="019712FC">
      <w:pPr>
        <w:shd w:val="clear"/>
        <w:spacing w:after="0" w:line="240" w:lineRule="auto"/>
        <w:jc w:val="both"/>
        <w:rPr>
          <w:rFonts w:hint="default" w:ascii="Times New Roman" w:hAnsi="Times New Roman" w:eastAsia="Calibri" w:cs="Times New Roman"/>
          <w:b/>
          <w:sz w:val="28"/>
          <w:szCs w:val="28"/>
          <w:highlight w:val="none"/>
        </w:rPr>
      </w:pPr>
      <w:r>
        <w:rPr>
          <w:rFonts w:hint="default" w:ascii="Times New Roman" w:hAnsi="Times New Roman" w:eastAsia="Calibri" w:cs="Times New Roman"/>
          <w:b/>
          <w:sz w:val="28"/>
          <w:szCs w:val="28"/>
          <w:highlight w:val="none"/>
        </w:rPr>
        <w:t xml:space="preserve"> </w:t>
      </w:r>
    </w:p>
    <w:p w14:paraId="1BC0085E">
      <w:pPr>
        <w:shd w:val="clear"/>
        <w:spacing w:after="0" w:line="240" w:lineRule="auto"/>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lang w:val="kk-KZ"/>
        </w:rPr>
        <w:t xml:space="preserve">                          Республика Казахстан, </w:t>
      </w:r>
      <w:r>
        <w:rPr>
          <w:rFonts w:hint="default" w:ascii="Times New Roman" w:hAnsi="Times New Roman" w:eastAsia="Calibri" w:cs="Times New Roman"/>
          <w:sz w:val="28"/>
          <w:szCs w:val="28"/>
          <w:highlight w:val="none"/>
        </w:rPr>
        <w:t>Караганда 2025г</w:t>
      </w:r>
      <w:r>
        <w:rPr>
          <w:rFonts w:hint="default" w:ascii="Times New Roman" w:hAnsi="Times New Roman" w:eastAsia="Calibri" w:cs="Times New Roman"/>
          <w:sz w:val="28"/>
          <w:szCs w:val="28"/>
          <w:highlight w:val="none"/>
        </w:rPr>
        <w:t>.</w:t>
      </w:r>
    </w:p>
    <w:p w14:paraId="2E30709B">
      <w:pPr>
        <w:shd w:val="clear"/>
        <w:spacing w:after="0" w:line="240" w:lineRule="auto"/>
        <w:jc w:val="both"/>
        <w:rPr>
          <w:rFonts w:hint="default" w:ascii="Times New Roman" w:hAnsi="Times New Roman" w:eastAsia="Calibri" w:cs="Times New Roman"/>
          <w:sz w:val="28"/>
          <w:szCs w:val="28"/>
          <w:highlight w:val="none"/>
        </w:rPr>
      </w:pPr>
    </w:p>
    <w:p w14:paraId="310DC82E">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 xml:space="preserve">Актуальность </w:t>
      </w:r>
    </w:p>
    <w:p w14:paraId="78C55D5E">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Железодефицитная анемия (ЖДА) — одна из наиболее распространённых экстрагенитальных патологий, представляющая серьёзную угрозу для здоровья матери и плода во время беременности. По данным Всемирной организации здравоохранения (ВОЗ), анемия выявляется у 38% беременных женщин в мире, что составляет около 32 млн. человек [1]. Основной причиной этого состояния является дефицит железа, несоответствующий возросшим потребностям организма в период беременности. Потребность в железе увеличивается уже с первого триместра и возрастает в три раза к концу беременности в связи с развитием плода, формированием плаценты и увеличением массы эритроцитов у матери [2, 3].</w:t>
      </w:r>
    </w:p>
    <w:p w14:paraId="469BE0BD">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Согласно данным Министерства здравоохранения Республики Казахстан, в 2020г. ЖДА была диагностирована у 27% беременных женщин. Несмотря на снижение тенденции к распространенности ЖДА по сравнению с 2007г (41,7%),  </w:t>
      </w:r>
      <w:r>
        <w:rPr>
          <w:rFonts w:hint="default" w:ascii="Times New Roman" w:hAnsi="Times New Roman" w:eastAsia="Times New Roman" w:cs="Times New Roman"/>
          <w:sz w:val="28"/>
          <w:szCs w:val="28"/>
          <w:highlight w:val="none"/>
          <w:lang w:eastAsia="ru-RU"/>
        </w:rPr>
        <w:t>остаются открытыми вопросы</w:t>
      </w:r>
      <w:r>
        <w:rPr>
          <w:rFonts w:hint="default" w:ascii="Times New Roman" w:hAnsi="Times New Roman" w:eastAsia="Times New Roman" w:cs="Times New Roman"/>
          <w:sz w:val="28"/>
          <w:szCs w:val="28"/>
          <w:highlight w:val="none"/>
          <w:lang w:eastAsia="ru-RU"/>
        </w:rPr>
        <w:t xml:space="preserve"> по механизмам развития и диагностики заболевания [4]. У значительного большинства беременных (62,9%) уровень ферритина, как маркера железообмена, остаётся сниженным  [5]. Это определяет важность своевременной диагностики анемии, её профилактики и эффективной терапии у беременных.</w:t>
      </w:r>
    </w:p>
    <w:p w14:paraId="65097F03">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Современные научные данные </w:t>
      </w:r>
      <w:r>
        <w:rPr>
          <w:rFonts w:hint="default" w:ascii="Times New Roman" w:hAnsi="Times New Roman" w:eastAsia="Times New Roman" w:cs="Times New Roman"/>
          <w:sz w:val="28"/>
          <w:szCs w:val="28"/>
          <w:highlight w:val="none"/>
          <w:lang w:eastAsia="ru-RU"/>
        </w:rPr>
        <w:t>указывают</w:t>
      </w:r>
      <w:r>
        <w:rPr>
          <w:rFonts w:hint="default" w:ascii="Times New Roman" w:hAnsi="Times New Roman" w:eastAsia="Times New Roman" w:cs="Times New Roman"/>
          <w:sz w:val="28"/>
          <w:szCs w:val="28"/>
          <w:highlight w:val="none"/>
          <w:lang w:eastAsia="ru-RU"/>
        </w:rPr>
        <w:t xml:space="preserve"> на наличие патогенетической связи между ожирением и развитием ЖДА. В Казахстане 38,6% женщин репродуктивного возраста имеют избыточный вес или ожирение [6],  и распространённость </w:t>
      </w:r>
      <w:r>
        <w:rPr>
          <w:rFonts w:hint="default" w:ascii="Times New Roman" w:hAnsi="Times New Roman" w:eastAsia="Times New Roman" w:cs="Times New Roman"/>
          <w:sz w:val="28"/>
          <w:szCs w:val="28"/>
          <w:highlight w:val="none"/>
          <w:lang w:eastAsia="ru-RU"/>
        </w:rPr>
        <w:t>подобной ассоциации</w:t>
      </w:r>
      <w:r>
        <w:rPr>
          <w:rFonts w:hint="default" w:ascii="Times New Roman" w:hAnsi="Times New Roman" w:eastAsia="Times New Roman" w:cs="Times New Roman"/>
          <w:sz w:val="28"/>
          <w:szCs w:val="28"/>
          <w:highlight w:val="none"/>
          <w:lang w:eastAsia="ru-RU"/>
        </w:rPr>
        <w:t xml:space="preserve"> удвоилась за последние десятилетия [7]. Ожирение рассматривается не только как метаболическое расстройство, но и как хроническое воспалительное состояние низкой степени активности, которое оказывает негативное влияние на обмен железа [8, 9].</w:t>
      </w:r>
    </w:p>
    <w:p w14:paraId="385A7374">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Цитокины воспаления, такие как интерлейкин-6 (ИЛ-6), С-реактивный белок (СРБ) и фактор некроза опухоли альфа (ФНО-α), выделяемые жировой тканью, стимулируют выработку гепсидина [10, 11, 12]. Гепсидин — ключевой регулятор обмена железа: он подавляет абсорбцию железа в кишечнике и его мобилизацию из депо в печени и макрофагах [13, 14]. В условиях хронического воспаления развивается функциональный дефицит железа, когда железо в организме недоступно для использования. Это особенно характерно для женщин с ожирением, у которых к тому же существенно снижена эффективность железосодержащих препаратов [15, 16].</w:t>
      </w:r>
    </w:p>
    <w:p w14:paraId="010BE90F">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Имеются данные о том</w:t>
      </w:r>
      <w:r>
        <w:rPr>
          <w:rFonts w:hint="default" w:ascii="Times New Roman" w:hAnsi="Times New Roman" w:eastAsia="Times New Roman" w:cs="Times New Roman"/>
          <w:sz w:val="28"/>
          <w:szCs w:val="28"/>
          <w:highlight w:val="none"/>
          <w:lang w:eastAsia="ru-RU"/>
        </w:rPr>
        <w:t>, что у беременных с ожирением значительно повышаются уровни воспалительных маркеров (ИЛ-6, СРБ), гепсидина и лептина, что ограничивает всасывание железа и нарушает эритропоэз [17, 18, 19, 20, 21]. Лептин - гормон, выделяемый жировыми клетками,  опосредованно стимулирует синтез гепсидина, усугубляя дефицит железа [22, 23].</w:t>
      </w:r>
    </w:p>
    <w:p w14:paraId="40F8959A">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Ожирение у беременной женщины влияет не только на её собственный обмен железа, но и на железообмен плода. Многочисленные исследования указывают на то, что у новорождённых, рождённых от матерей с ожирением, уровень ферритина в пуповинной крови ниже, и риск дефицита железа, а также задержки когнитивного и моторного развития </w:t>
      </w:r>
      <w:r>
        <w:rPr>
          <w:rFonts w:hint="default" w:ascii="Times New Roman" w:hAnsi="Times New Roman" w:eastAsia="Times New Roman" w:cs="Times New Roman"/>
          <w:sz w:val="28"/>
          <w:szCs w:val="28"/>
          <w:highlight w:val="none"/>
          <w:lang w:eastAsia="ru-RU"/>
        </w:rPr>
        <w:t>-</w:t>
      </w:r>
      <w:r>
        <w:rPr>
          <w:rFonts w:hint="default" w:ascii="Times New Roman" w:hAnsi="Times New Roman" w:eastAsia="Times New Roman" w:cs="Times New Roman"/>
          <w:sz w:val="28"/>
          <w:szCs w:val="28"/>
          <w:highlight w:val="none"/>
          <w:lang w:eastAsia="ru-RU"/>
        </w:rPr>
        <w:t xml:space="preserve"> выше [24, 25, 26, 27]. Несмотря на повышение экспрессии рецепторов переноса железа (sTfR, rTfR1) в плаценте, воспалительный процесс и повышенный уровень гепсидина  ограничивают передачу железа от матери к плоду [26, 28], что способствует развитию железодефицита у новорождённых с потенциальными последствиями [29, 30, 31].</w:t>
      </w:r>
    </w:p>
    <w:p w14:paraId="1B9014C8">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Ожирение также влияет на эффективность профилактики и лечения ЖДА у беременных. Повышенный уровень гепсидина снижает биодоступность препаратов железа, что требует пересмотра традиционных профилактических и терапевтических подходов [15, 32, 33]. Ограничение чрезмерной прибавки массы тела во время беременности и коррекция образа жизни (диета, физическая активность) способствуют снижению воспалительной активности, улучшению метаболизма железа и профилактике ЖДА [34, 35, 36].</w:t>
      </w:r>
    </w:p>
    <w:p w14:paraId="017A07D0">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С учётом вышеуказанных данных, </w:t>
      </w:r>
      <w:r>
        <w:rPr>
          <w:rFonts w:hint="default" w:ascii="Times New Roman" w:hAnsi="Times New Roman" w:eastAsia="Times New Roman" w:cs="Times New Roman"/>
          <w:sz w:val="28"/>
          <w:szCs w:val="28"/>
          <w:highlight w:val="none"/>
          <w:lang w:eastAsia="ru-RU"/>
        </w:rPr>
        <w:t>изучение механизмов развития, диагностических критериев, эффективности профилактики и ранней терапии анемии, связанной с ожирением при беременности остается важной задачей, что обусловливает необходимость, проведения комплексных клинических и лабораторных исследований в данном направлении.</w:t>
      </w:r>
      <w:r>
        <w:rPr>
          <w:rFonts w:hint="default" w:ascii="Times New Roman" w:hAnsi="Times New Roman" w:eastAsia="Times New Roman" w:cs="Times New Roman"/>
          <w:sz w:val="28"/>
          <w:szCs w:val="28"/>
          <w:highlight w:val="none"/>
          <w:lang w:eastAsia="ru-RU"/>
        </w:rPr>
        <w:t xml:space="preserve"> Настоящая научная работа направлена на  выявление особенностей распространения, патогенеза, диагностики и терапии ЖДА у беременных с ожирением. Полученные результаты исследования позволят улучшить диагностику, повысить эффективность профилактики и лечения ЖДА у беременных с ожирением.</w:t>
      </w:r>
    </w:p>
    <w:p w14:paraId="418A7128">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Цель исследования</w:t>
      </w:r>
    </w:p>
    <w:p w14:paraId="7723E704">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Оценить взаимосвязь между маркерами воспаления и обмена железа у беременных  с предгестационным ожирением в патогенезе развития  анемии.</w:t>
      </w:r>
    </w:p>
    <w:p w14:paraId="376287CE">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Задачи исследования</w:t>
      </w:r>
    </w:p>
    <w:p w14:paraId="5A00AD58">
      <w:pPr>
        <w:numPr>
          <w:ilvl w:val="0"/>
          <w:numId w:val="1"/>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Определить уровни маркеров обмена железа (гепсидин, ферритин, эритропоэтин) и воспаления (интерлейкин-6, С-реактивный белок) у беременных, а также оценить их </w:t>
      </w:r>
      <w:r>
        <w:rPr>
          <w:rFonts w:hint="default" w:ascii="Times New Roman" w:hAnsi="Times New Roman" w:eastAsia="Times New Roman" w:cs="Times New Roman"/>
          <w:sz w:val="28"/>
          <w:szCs w:val="28"/>
          <w:highlight w:val="none"/>
          <w:lang w:eastAsia="ru-RU"/>
        </w:rPr>
        <w:t>динамику</w:t>
      </w:r>
      <w:r>
        <w:rPr>
          <w:rFonts w:hint="default" w:ascii="Times New Roman" w:hAnsi="Times New Roman" w:eastAsia="Times New Roman" w:cs="Times New Roman"/>
          <w:sz w:val="28"/>
          <w:szCs w:val="28"/>
          <w:highlight w:val="none"/>
          <w:lang w:eastAsia="ru-RU"/>
        </w:rPr>
        <w:t xml:space="preserve"> </w:t>
      </w:r>
      <w:r>
        <w:rPr>
          <w:rFonts w:hint="default" w:ascii="Times New Roman" w:hAnsi="Times New Roman" w:eastAsia="Times New Roman" w:cs="Times New Roman"/>
          <w:sz w:val="28"/>
          <w:szCs w:val="28"/>
          <w:highlight w:val="none"/>
          <w:lang w:eastAsia="ru-RU"/>
        </w:rPr>
        <w:t>при ассоциации анемии с ожирением.</w:t>
      </w:r>
    </w:p>
    <w:p w14:paraId="6706FC0E">
      <w:pPr>
        <w:numPr>
          <w:ilvl w:val="0"/>
          <w:numId w:val="1"/>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Оценить влияние предгестационного ожирения и анемии у беременных на течение родов и состояние новорождённого.</w:t>
      </w:r>
    </w:p>
    <w:p w14:paraId="1200A54B">
      <w:pPr>
        <w:numPr>
          <w:ilvl w:val="0"/>
          <w:numId w:val="1"/>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Проанализировать корреляционные взаимосвязи между маркерами обмена железа (гепсидин, ферритин, эритропоэтин) и воспаления (интерлейкин-6, С-реактивный белок) </w:t>
      </w:r>
      <w:r>
        <w:rPr>
          <w:rFonts w:hint="default" w:ascii="Times New Roman" w:hAnsi="Times New Roman" w:eastAsia="Times New Roman" w:cs="Times New Roman"/>
          <w:sz w:val="28"/>
          <w:szCs w:val="28"/>
          <w:highlight w:val="none"/>
          <w:lang w:eastAsia="ru-RU"/>
        </w:rPr>
        <w:t>у беременных с анемией на фоне ожирения.</w:t>
      </w:r>
    </w:p>
    <w:p w14:paraId="3693F5FA">
      <w:pPr>
        <w:numPr>
          <w:ilvl w:val="0"/>
          <w:numId w:val="1"/>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Разработать прогностическую модель </w:t>
      </w:r>
      <w:r>
        <w:rPr>
          <w:rFonts w:hint="default" w:ascii="Times New Roman" w:hAnsi="Times New Roman" w:eastAsia="Times New Roman" w:cs="Times New Roman"/>
          <w:sz w:val="28"/>
          <w:szCs w:val="28"/>
          <w:highlight w:val="none"/>
          <w:lang w:eastAsia="ru-RU"/>
        </w:rPr>
        <w:t>на основе интегрированных</w:t>
      </w:r>
      <w:r>
        <w:rPr>
          <w:rFonts w:hint="default" w:ascii="Times New Roman" w:hAnsi="Times New Roman" w:eastAsia="Times New Roman" w:cs="Times New Roman"/>
          <w:sz w:val="28"/>
          <w:szCs w:val="28"/>
          <w:highlight w:val="none"/>
          <w:lang w:eastAsia="ru-RU"/>
        </w:rPr>
        <w:t xml:space="preserve"> маркеров воспаления и железообмена для ранней диагностики и профилактики анемии у беременных женщин с ожирением.</w:t>
      </w:r>
      <w:r>
        <w:rPr>
          <w:rFonts w:hint="default" w:ascii="Times New Roman" w:hAnsi="Times New Roman" w:eastAsia="Times New Roman" w:cs="Times New Roman"/>
          <w:sz w:val="28"/>
          <w:szCs w:val="28"/>
          <w:highlight w:val="none"/>
          <w:lang w:val="kk-KZ" w:eastAsia="ru-RU"/>
        </w:rPr>
        <w:t xml:space="preserve"> </w:t>
      </w:r>
      <w:r>
        <w:rPr>
          <w:rFonts w:hint="default" w:ascii="Times New Roman" w:hAnsi="Times New Roman" w:eastAsia="Times New Roman" w:cs="Times New Roman"/>
          <w:sz w:val="28"/>
          <w:szCs w:val="28"/>
          <w:highlight w:val="none"/>
          <w:lang w:eastAsia="ru-RU"/>
        </w:rPr>
        <w:t>Оценить патогенетические механизмы развития анемии на фоне предгестационного ожирения в условиях хронического воспаления.</w:t>
      </w:r>
    </w:p>
    <w:p w14:paraId="6550460B">
      <w:pPr>
        <w:shd w:val="clear"/>
        <w:spacing w:after="0" w:line="240" w:lineRule="auto"/>
        <w:jc w:val="both"/>
        <w:rPr>
          <w:rFonts w:hint="default" w:ascii="Times New Roman" w:hAnsi="Times New Roman" w:eastAsia="Times New Roman" w:cs="Times New Roman"/>
          <w:sz w:val="28"/>
          <w:szCs w:val="28"/>
          <w:highlight w:val="none"/>
          <w:lang w:eastAsia="ru-RU"/>
        </w:rPr>
      </w:pPr>
    </w:p>
    <w:p w14:paraId="539C061C">
      <w:pPr>
        <w:shd w:val="clear"/>
        <w:spacing w:after="0" w:line="240" w:lineRule="auto"/>
        <w:jc w:val="both"/>
        <w:rPr>
          <w:rFonts w:hint="default" w:ascii="Times New Roman" w:hAnsi="Times New Roman" w:eastAsia="Times New Roman" w:cs="Times New Roman"/>
          <w:sz w:val="28"/>
          <w:szCs w:val="28"/>
          <w:highlight w:val="none"/>
          <w:lang w:eastAsia="ru-RU"/>
        </w:rPr>
      </w:pPr>
    </w:p>
    <w:p w14:paraId="23A35284">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Научная новизна</w:t>
      </w:r>
    </w:p>
    <w:p w14:paraId="11F8C93C">
      <w:pPr>
        <w:numPr>
          <w:ilvl w:val="0"/>
          <w:numId w:val="2"/>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Впервые комплексно оценена роль уровня гепсидина у беременных, как важного предиктора развития анемии. Установлено, что повышение уровня гепсидина существенно увеличивает риск развития анемии </w:t>
      </w:r>
      <w:r>
        <w:rPr>
          <w:rFonts w:hint="default" w:ascii="Times New Roman" w:hAnsi="Times New Roman" w:eastAsia="Times New Roman" w:cs="Times New Roman"/>
          <w:sz w:val="28"/>
          <w:szCs w:val="28"/>
          <w:highlight w:val="none"/>
          <w:lang w:eastAsia="ru-RU"/>
        </w:rPr>
        <w:t>при ассоциации с ожирением</w:t>
      </w:r>
      <w:r>
        <w:rPr>
          <w:rFonts w:hint="default" w:ascii="Times New Roman" w:hAnsi="Times New Roman" w:eastAsia="Times New Roman" w:cs="Times New Roman"/>
          <w:sz w:val="28"/>
          <w:szCs w:val="28"/>
          <w:highlight w:val="none"/>
          <w:lang w:eastAsia="ru-RU"/>
        </w:rPr>
        <w:t>, и в таких случаях его уровень возрастает в три раза. Подтверждена  ведущая роль гепсидина в воспалительных процессах и метаболизме железа. Гепсидин относится к биомаркерам  ранней диагностики и дифференциальной диагностики ЖДА (Свидетельство об авторском праве №53238 от 08.01.2025 г.).</w:t>
      </w:r>
    </w:p>
    <w:p w14:paraId="05FF927B">
      <w:pPr>
        <w:numPr>
          <w:ilvl w:val="0"/>
          <w:numId w:val="2"/>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Впервые доказана взаимосвязь ожирения и воспалительных процессов у беременных. Уровни </w:t>
      </w:r>
      <w:r>
        <w:rPr>
          <w:rFonts w:hint="default" w:ascii="Times New Roman" w:hAnsi="Times New Roman" w:eastAsia="Times New Roman" w:cs="Times New Roman"/>
          <w:sz w:val="28"/>
          <w:szCs w:val="28"/>
          <w:highlight w:val="none"/>
          <w:lang w:eastAsia="ru-RU"/>
        </w:rPr>
        <w:t>интерлейкина-6 и С-реактивного белка</w:t>
      </w:r>
      <w:r>
        <w:rPr>
          <w:rFonts w:hint="default" w:ascii="Times New Roman" w:hAnsi="Times New Roman" w:eastAsia="Times New Roman" w:cs="Times New Roman"/>
          <w:sz w:val="28"/>
          <w:szCs w:val="28"/>
          <w:highlight w:val="none"/>
          <w:lang w:eastAsia="ru-RU"/>
        </w:rPr>
        <w:t xml:space="preserve"> у женщин с ожирением достоверно выше и прямо коррелируют с выраженностью воспаления (Свидетельство об авторском праве №53486 от 15.01.2025 г.).</w:t>
      </w:r>
    </w:p>
    <w:p w14:paraId="0EF81FD7">
      <w:pPr>
        <w:numPr>
          <w:ilvl w:val="0"/>
          <w:numId w:val="2"/>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Интегрировнная оценка уровней гепсидина, ферритина, эритропоэтина, </w:t>
      </w:r>
      <w:r>
        <w:rPr>
          <w:rFonts w:hint="default" w:ascii="Times New Roman" w:hAnsi="Times New Roman" w:eastAsia="Times New Roman" w:cs="Times New Roman"/>
          <w:sz w:val="28"/>
          <w:szCs w:val="28"/>
          <w:highlight w:val="none"/>
          <w:lang w:eastAsia="ru-RU"/>
        </w:rPr>
        <w:t>интерлейкина-6 и С-реактивного белка</w:t>
      </w:r>
      <w:r>
        <w:rPr>
          <w:rFonts w:hint="default" w:ascii="Times New Roman" w:hAnsi="Times New Roman" w:eastAsia="Times New Roman" w:cs="Times New Roman"/>
          <w:sz w:val="28"/>
          <w:szCs w:val="28"/>
          <w:highlight w:val="none"/>
          <w:lang w:eastAsia="ru-RU"/>
        </w:rPr>
        <w:t xml:space="preserve"> позволяет с высокой достоверностью диагностировать анемию на ранней стадии у </w:t>
      </w:r>
      <w:r>
        <w:rPr>
          <w:rFonts w:hint="default" w:ascii="Times New Roman" w:hAnsi="Times New Roman" w:eastAsia="Times New Roman" w:cs="Times New Roman"/>
          <w:sz w:val="28"/>
          <w:szCs w:val="28"/>
          <w:highlight w:val="none"/>
          <w:lang w:eastAsia="ru-RU"/>
        </w:rPr>
        <w:t>беременных (Свидетельство об авторском праве №5362 от 20.01.2025г.).</w:t>
      </w:r>
    </w:p>
    <w:p w14:paraId="65BC5430">
      <w:pPr>
        <w:numPr>
          <w:ilvl w:val="0"/>
          <w:numId w:val="2"/>
        </w:numPr>
        <w:shd w:val="clear"/>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SimSun" w:cs="Times New Roman"/>
          <w:sz w:val="28"/>
          <w:szCs w:val="28"/>
          <w:highlight w:val="none"/>
        </w:rPr>
        <w:t>Впервые оценено, что при ассоциации анемии с ожирением статистически значимо (p&lt;0.05) увеличивается риск развития осложнений в родах и послеродовом периоде: гестационного диабета (до 33,3%), гипертензии (до 25%), дистоции плечиков (до 21,1%), макросомии (до 18,4%) и низких баллов по шкале Апгар (до 15,8%). Эти данные подтверждают необходимость комплексного наблюдения и раннего вмешательства у данной категории пациенток.</w:t>
      </w:r>
    </w:p>
    <w:p w14:paraId="03E3F7C9">
      <w:pPr>
        <w:shd w:val="clear"/>
        <w:spacing w:after="0" w:line="240" w:lineRule="auto"/>
        <w:ind w:left="1429"/>
        <w:jc w:val="both"/>
        <w:outlineLvl w:val="2"/>
        <w:rPr>
          <w:rFonts w:hint="default" w:ascii="Times New Roman" w:hAnsi="Times New Roman" w:eastAsia="Times New Roman" w:cs="Times New Roman"/>
          <w:b/>
          <w:bCs/>
          <w:sz w:val="28"/>
          <w:szCs w:val="28"/>
          <w:highlight w:val="none"/>
          <w:lang w:val="kk-KZ" w:eastAsia="ru-RU"/>
        </w:rPr>
      </w:pPr>
    </w:p>
    <w:p w14:paraId="04F6950D">
      <w:pPr>
        <w:shd w:val="clear"/>
        <w:spacing w:after="0" w:line="240" w:lineRule="auto"/>
        <w:ind w:left="142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Положения, выносимые на защиту</w:t>
      </w:r>
    </w:p>
    <w:p w14:paraId="02C0BE83">
      <w:pPr>
        <w:numPr>
          <w:ilvl w:val="0"/>
          <w:numId w:val="3"/>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Уровень гепсидина напрямую взаимосвязан с риском развития анемии и воспалительными процессами. При сочетании ожирения и анемии уровень гепсидина увеличивается в три раза (Ме = 1786,59 [Q1: 1510,64 – Q3: 1940,43], p&lt;0,001), что позволяет рассматривать его в качестве биомаркера для ранней диагностики анемии и оценки эффективности железотерапии.</w:t>
      </w:r>
    </w:p>
    <w:p w14:paraId="37595034">
      <w:pPr>
        <w:pStyle w:val="11"/>
        <w:numPr>
          <w:ilvl w:val="0"/>
          <w:numId w:val="3"/>
        </w:numPr>
        <w:shd w:val="clear"/>
        <w:spacing w:after="0" w:line="240" w:lineRule="auto"/>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Установлена зависимость между уровнем воспалительных маркеров (</w:t>
      </w:r>
      <w:r>
        <w:rPr>
          <w:rFonts w:hint="default" w:ascii="Times New Roman" w:hAnsi="Times New Roman" w:eastAsia="Times New Roman" w:cs="Times New Roman"/>
          <w:sz w:val="28"/>
          <w:szCs w:val="28"/>
          <w:highlight w:val="none"/>
          <w:lang w:eastAsia="ru-RU"/>
        </w:rPr>
        <w:t>интерлейкина-6 и С-реактивного белка</w:t>
      </w:r>
      <w:r>
        <w:rPr>
          <w:rFonts w:hint="default" w:ascii="Times New Roman" w:hAnsi="Times New Roman" w:eastAsia="Times New Roman" w:cs="Times New Roman"/>
          <w:sz w:val="28"/>
          <w:szCs w:val="28"/>
          <w:highlight w:val="none"/>
          <w:lang w:eastAsia="ru-RU"/>
        </w:rPr>
        <w:t xml:space="preserve">) и </w:t>
      </w:r>
      <w:r>
        <w:rPr>
          <w:rFonts w:hint="default" w:ascii="Times New Roman" w:hAnsi="Times New Roman" w:eastAsia="Times New Roman" w:cs="Times New Roman"/>
          <w:sz w:val="28"/>
          <w:szCs w:val="28"/>
          <w:highlight w:val="none"/>
          <w:lang w:val="kk-KZ" w:eastAsia="ru-RU"/>
        </w:rPr>
        <w:t>ожирением</w:t>
      </w:r>
      <w:r>
        <w:rPr>
          <w:rFonts w:hint="default" w:ascii="Times New Roman" w:hAnsi="Times New Roman" w:eastAsia="Times New Roman" w:cs="Times New Roman"/>
          <w:sz w:val="28"/>
          <w:szCs w:val="28"/>
          <w:highlight w:val="none"/>
          <w:lang w:eastAsia="ru-RU"/>
        </w:rPr>
        <w:t xml:space="preserve"> у беременных: по мере роста индекса массы тела  их концентрация возрастает (</w:t>
      </w:r>
      <w:r>
        <w:rPr>
          <w:rFonts w:hint="default" w:ascii="Times New Roman" w:hAnsi="Times New Roman" w:eastAsia="Times New Roman" w:cs="Times New Roman"/>
          <w:sz w:val="28"/>
          <w:szCs w:val="28"/>
          <w:highlight w:val="none"/>
          <w:lang w:eastAsia="ru-RU"/>
        </w:rPr>
        <w:t>С-реактивный бел</w:t>
      </w:r>
      <w:r>
        <w:rPr>
          <w:rFonts w:hint="default" w:ascii="Times New Roman" w:hAnsi="Times New Roman" w:eastAsia="Times New Roman" w:cs="Times New Roman"/>
          <w:sz w:val="28"/>
          <w:szCs w:val="28"/>
          <w:highlight w:val="none"/>
          <w:lang w:eastAsia="ru-RU"/>
        </w:rPr>
        <w:t xml:space="preserve">ок: r = 0.394, p &lt; 0.01; </w:t>
      </w:r>
      <w:r>
        <w:rPr>
          <w:rFonts w:hint="default" w:ascii="Times New Roman" w:hAnsi="Times New Roman" w:eastAsia="Times New Roman" w:cs="Times New Roman"/>
          <w:sz w:val="28"/>
          <w:szCs w:val="28"/>
          <w:highlight w:val="none"/>
          <w:lang w:eastAsia="ru-RU"/>
        </w:rPr>
        <w:t>интерлейкин-6</w:t>
      </w:r>
      <w:r>
        <w:rPr>
          <w:rFonts w:hint="default" w:ascii="Times New Roman" w:hAnsi="Times New Roman" w:eastAsia="Times New Roman" w:cs="Times New Roman"/>
          <w:sz w:val="28"/>
          <w:szCs w:val="28"/>
          <w:highlight w:val="none"/>
          <w:lang w:eastAsia="ru-RU"/>
        </w:rPr>
        <w:t>: r = 0.561, p &lt; 0.01), что определяет их значимость в качестве маркеров риска развития анемии и воспалительных осложнений.</w:t>
      </w:r>
    </w:p>
    <w:p w14:paraId="78669F99">
      <w:pPr>
        <w:pStyle w:val="11"/>
        <w:numPr>
          <w:ilvl w:val="0"/>
          <w:numId w:val="3"/>
        </w:numPr>
        <w:shd w:val="clear"/>
        <w:spacing w:after="0" w:line="240" w:lineRule="auto"/>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Комплексная  оценка уровней гепсидина, ферритина, эритропоэтина, </w:t>
      </w:r>
      <w:r>
        <w:rPr>
          <w:rFonts w:hint="default" w:ascii="Times New Roman" w:hAnsi="Times New Roman" w:eastAsia="Times New Roman" w:cs="Times New Roman"/>
          <w:sz w:val="28"/>
          <w:szCs w:val="28"/>
          <w:highlight w:val="none"/>
          <w:lang w:eastAsia="ru-RU"/>
        </w:rPr>
        <w:t>интерлейкина-6 и С-реактивного белка</w:t>
      </w:r>
      <w:r>
        <w:rPr>
          <w:rFonts w:hint="default" w:ascii="Times New Roman" w:hAnsi="Times New Roman" w:eastAsia="Times New Roman" w:cs="Times New Roman"/>
          <w:sz w:val="28"/>
          <w:szCs w:val="28"/>
          <w:highlight w:val="none"/>
          <w:lang w:eastAsia="ru-RU"/>
        </w:rPr>
        <w:t xml:space="preserve"> позволяет проводить </w:t>
      </w:r>
      <w:r>
        <w:rPr>
          <w:rFonts w:hint="default" w:ascii="Times New Roman" w:hAnsi="Times New Roman" w:eastAsia="Times New Roman" w:cs="Times New Roman"/>
          <w:sz w:val="28"/>
          <w:szCs w:val="28"/>
          <w:highlight w:val="none"/>
          <w:lang w:eastAsia="ru-RU"/>
        </w:rPr>
        <w:t>достоверную</w:t>
      </w:r>
      <w:r>
        <w:rPr>
          <w:rFonts w:hint="default" w:ascii="Times New Roman" w:hAnsi="Times New Roman" w:eastAsia="Times New Roman" w:cs="Times New Roman"/>
          <w:sz w:val="28"/>
          <w:szCs w:val="28"/>
          <w:highlight w:val="none"/>
          <w:lang w:eastAsia="ru-RU"/>
        </w:rPr>
        <w:t xml:space="preserve"> диагностику анемии на ранних сроках беременности. Разработанная прогностическая модель показывает высокую точность классификации (77,8%) и </w:t>
      </w:r>
      <w:r>
        <w:rPr>
          <w:rFonts w:hint="default" w:ascii="Times New Roman" w:hAnsi="Times New Roman" w:eastAsia="Times New Roman" w:cs="Times New Roman"/>
          <w:sz w:val="28"/>
          <w:szCs w:val="28"/>
          <w:highlight w:val="none"/>
          <w:lang w:eastAsia="ru-RU"/>
        </w:rPr>
        <w:t>надёжности</w:t>
      </w:r>
      <w:r>
        <w:rPr>
          <w:rFonts w:hint="default" w:ascii="Times New Roman" w:hAnsi="Times New Roman" w:eastAsia="Times New Roman" w:cs="Times New Roman"/>
          <w:sz w:val="28"/>
          <w:szCs w:val="28"/>
          <w:highlight w:val="none"/>
          <w:lang w:eastAsia="ru-RU"/>
        </w:rPr>
        <w:t xml:space="preserve"> диагностики по ROC-кривой (AUC = 0,864; 95% CI = 0,810–0,918; p&lt;0,001), позволяя персонализировать диагностические подходы у беременных. </w:t>
      </w:r>
    </w:p>
    <w:p w14:paraId="3BD8B6E9">
      <w:pPr>
        <w:numPr>
          <w:ilvl w:val="0"/>
          <w:numId w:val="3"/>
        </w:num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Ассоциация ожирения и анемии достоверно повышает риск перинатальных осложнений: гестационного диабета (χ²=14,141, p=0,0027), гипертензии (χ²=9,958, p=0,0189), дистоции плечиков (χ²=12,069, p=0,0072), макросомии (χ²=7,958, p=0,0469) и низкого балла по шкале Апгар (χ²=10,594, p=0,0141), что определяет необходимость ранней диагностики и модификации образа жизни беременных. </w:t>
      </w:r>
    </w:p>
    <w:p w14:paraId="096112D4">
      <w:pPr>
        <w:shd w:val="clear"/>
        <w:spacing w:after="0" w:line="240" w:lineRule="auto"/>
        <w:ind w:left="1429"/>
        <w:jc w:val="both"/>
        <w:outlineLvl w:val="2"/>
        <w:rPr>
          <w:rFonts w:hint="default" w:ascii="Times New Roman" w:hAnsi="Times New Roman" w:eastAsia="Times New Roman" w:cs="Times New Roman"/>
          <w:b/>
          <w:bCs/>
          <w:sz w:val="28"/>
          <w:szCs w:val="28"/>
          <w:highlight w:val="none"/>
          <w:lang w:eastAsia="ru-RU"/>
        </w:rPr>
      </w:pPr>
    </w:p>
    <w:p w14:paraId="43E55E60">
      <w:pPr>
        <w:shd w:val="clear"/>
        <w:spacing w:after="0" w:line="240" w:lineRule="auto"/>
        <w:ind w:left="142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Практическая значимость</w:t>
      </w:r>
    </w:p>
    <w:p w14:paraId="51627273">
      <w:pPr>
        <w:numPr>
          <w:ilvl w:val="0"/>
          <w:numId w:val="4"/>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bCs/>
          <w:sz w:val="28"/>
          <w:szCs w:val="28"/>
          <w:highlight w:val="none"/>
          <w:lang w:eastAsia="ru-RU"/>
        </w:rPr>
        <w:t>Мониторинг</w:t>
      </w:r>
      <w:r>
        <w:rPr>
          <w:rFonts w:hint="default" w:ascii="Times New Roman" w:hAnsi="Times New Roman" w:eastAsia="Times New Roman" w:cs="Times New Roman"/>
          <w:bCs/>
          <w:sz w:val="28"/>
          <w:szCs w:val="28"/>
          <w:highlight w:val="none"/>
          <w:lang w:eastAsia="ru-RU"/>
        </w:rPr>
        <w:t xml:space="preserve"> уровня гепсидина</w:t>
      </w:r>
      <w:r>
        <w:rPr>
          <w:rFonts w:hint="default" w:ascii="Times New Roman" w:hAnsi="Times New Roman" w:eastAsia="Times New Roman" w:cs="Times New Roman"/>
          <w:sz w:val="28"/>
          <w:szCs w:val="28"/>
          <w:highlight w:val="none"/>
          <w:lang w:eastAsia="ru-RU"/>
        </w:rPr>
        <w:t xml:space="preserve"> позволит проводить раннюю диагностику анемии у беременных. Его повышение является надёжным предиктором риска анемии и может быть использовано для дифференциации железодефицитной анемии от других форм </w:t>
      </w:r>
      <w:r>
        <w:rPr>
          <w:rFonts w:hint="default" w:ascii="Times New Roman" w:hAnsi="Times New Roman" w:eastAsia="Times New Roman" w:cs="Times New Roman"/>
          <w:sz w:val="28"/>
          <w:szCs w:val="28"/>
          <w:highlight w:val="none"/>
          <w:lang w:eastAsia="ru-RU"/>
        </w:rPr>
        <w:t>анемического синдрома</w:t>
      </w:r>
      <w:r>
        <w:rPr>
          <w:rFonts w:hint="default" w:ascii="Times New Roman" w:hAnsi="Times New Roman" w:eastAsia="Times New Roman" w:cs="Times New Roman"/>
          <w:sz w:val="28"/>
          <w:szCs w:val="28"/>
          <w:highlight w:val="none"/>
          <w:lang w:eastAsia="ru-RU"/>
        </w:rPr>
        <w:t>, а также для оценки эффективности терапии.</w:t>
      </w:r>
    </w:p>
    <w:p w14:paraId="48CD7CFE">
      <w:pPr>
        <w:numPr>
          <w:ilvl w:val="0"/>
          <w:numId w:val="4"/>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bCs/>
          <w:sz w:val="28"/>
          <w:szCs w:val="28"/>
          <w:highlight w:val="none"/>
          <w:lang w:eastAsia="ru-RU"/>
        </w:rPr>
        <w:t xml:space="preserve">Комплексное исследование маркеров железообмена (гепсидин, ферритин, </w:t>
      </w:r>
      <w:r>
        <w:rPr>
          <w:rFonts w:hint="default" w:ascii="Times New Roman" w:hAnsi="Times New Roman" w:eastAsia="Times New Roman" w:cs="Times New Roman"/>
          <w:bCs/>
          <w:sz w:val="28"/>
          <w:szCs w:val="28"/>
          <w:highlight w:val="none"/>
          <w:lang w:eastAsia="ru-RU"/>
        </w:rPr>
        <w:t>эритропоэтин</w:t>
      </w:r>
      <w:r>
        <w:rPr>
          <w:rFonts w:hint="default" w:ascii="Times New Roman" w:hAnsi="Times New Roman" w:eastAsia="Times New Roman" w:cs="Times New Roman"/>
          <w:bCs/>
          <w:sz w:val="28"/>
          <w:szCs w:val="28"/>
          <w:highlight w:val="none"/>
          <w:lang w:eastAsia="ru-RU"/>
        </w:rPr>
        <w:t>) и воспаления (</w:t>
      </w:r>
      <w:r>
        <w:rPr>
          <w:rFonts w:hint="default" w:ascii="Times New Roman" w:hAnsi="Times New Roman" w:eastAsia="Times New Roman" w:cs="Times New Roman"/>
          <w:sz w:val="28"/>
          <w:szCs w:val="28"/>
          <w:highlight w:val="none"/>
          <w:lang w:eastAsia="ru-RU"/>
        </w:rPr>
        <w:t>интерлейкина-6 и С-реактивного белка</w:t>
      </w:r>
      <w:r>
        <w:rPr>
          <w:rFonts w:hint="default" w:ascii="Times New Roman" w:hAnsi="Times New Roman" w:eastAsia="Times New Roman" w:cs="Times New Roman"/>
          <w:bCs/>
          <w:sz w:val="28"/>
          <w:szCs w:val="28"/>
          <w:highlight w:val="none"/>
          <w:lang w:eastAsia="ru-RU"/>
        </w:rPr>
        <w:t>)</w:t>
      </w:r>
      <w:r>
        <w:rPr>
          <w:rFonts w:hint="default" w:ascii="Times New Roman" w:hAnsi="Times New Roman" w:eastAsia="Times New Roman" w:cs="Times New Roman"/>
          <w:sz w:val="28"/>
          <w:szCs w:val="28"/>
          <w:highlight w:val="none"/>
          <w:lang w:eastAsia="ru-RU"/>
        </w:rPr>
        <w:t xml:space="preserve"> способствует прогнозированию риска развития анемии с высокой точностью и индивидуализации профилактики и лечения. Повышенные значения этих показателей позволяют своевременно выявить группы риска и предотвратить осложнения.</w:t>
      </w:r>
    </w:p>
    <w:p w14:paraId="662F03EE">
      <w:pPr>
        <w:numPr>
          <w:ilvl w:val="0"/>
          <w:numId w:val="4"/>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Ранняя диагностика анемии у беременных с ожирением позволит разработать  комплексные меры по раннему началу терапии, модификации образа жизни и предотвращению перинатальных осложнений (гестационного диабета, гипертензии и рождения крупного плода).</w:t>
      </w:r>
    </w:p>
    <w:p w14:paraId="6FA6EBC1">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Внедрение в практику</w:t>
      </w:r>
    </w:p>
    <w:p w14:paraId="09775F8A">
      <w:pPr>
        <w:shd w:val="clear"/>
        <w:spacing w:after="0" w:line="240" w:lineRule="auto"/>
        <w:ind w:firstLine="709"/>
        <w:jc w:val="both"/>
        <w:outlineLvl w:val="2"/>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Результаты исследования внедрены в клиническую практику Перинатального центра №1 Областной клинической больницы г. Караганды и в гинекологическую практику Студенческой поликлиники №1, где проводится оценка маркеров анемии и воспаления с целью профилактики анемии у беременных с предгестационным ожирением (Акты внедрения от 22.04.2024г и 04.11.2024 г).</w:t>
      </w:r>
    </w:p>
    <w:p w14:paraId="69349ED9">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Уровень достоверности и апробация</w:t>
      </w:r>
    </w:p>
    <w:p w14:paraId="22BEDC80">
      <w:pPr>
        <w:numPr>
          <w:ilvl w:val="0"/>
          <w:numId w:val="5"/>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 Результаты исследования обсуждены и опубликованы в сборнике ежегодной 66-й международной научно-практической конференции «Наука и здоровье», организованной НАО «Семейский медицинский университет» (11–12 апреля 2024 г., стр. 34).</w:t>
      </w:r>
    </w:p>
    <w:p w14:paraId="0F1DE309">
      <w:pPr>
        <w:numPr>
          <w:ilvl w:val="0"/>
          <w:numId w:val="5"/>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Результаты исследования обсуждены и опубликованы в сборнике конференции, посвящённой Дню науки, «Мир науки и молодёжь: традиции и инновации» (НАО «Карагандинский медицинский университет», 2023 г., стр. 38).</w:t>
      </w:r>
    </w:p>
    <w:p w14:paraId="089B7D28">
      <w:pPr>
        <w:numPr>
          <w:ilvl w:val="0"/>
          <w:numId w:val="5"/>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Результаты исследования обсуждены на расширенном совместном заседании кафедр внутренних болезней и акушерства, гинекологии и перинатологии НАО «Карагандинский медицинский университет» 3 мая 2024 г. (протокол №10).</w:t>
      </w:r>
    </w:p>
    <w:p w14:paraId="501D1370">
      <w:pPr>
        <w:numPr>
          <w:ilvl w:val="0"/>
          <w:numId w:val="5"/>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Дизайн исследования и поставленные задачи соответствуют  цели исследования. Результаты подтверждены достаточным количеством наблюдений, корректным формированием основных и контрольных групп, соблюдением критериев включения и исключения, а также использованием современных лабораторных методов. Методы статистической обработки выбраны в соответствии с целью исследования.</w:t>
      </w:r>
    </w:p>
    <w:p w14:paraId="067F9A77">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Публикации</w:t>
      </w:r>
    </w:p>
    <w:p w14:paraId="6855747C">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Основные положения и результаты диссертационного исследования представлены в 4 научных статьях, из которых 3 опубликованы в журналах, рекомендованных Комитетом по качеству в сфере науки и высшего образования РК и 1 </w:t>
      </w:r>
      <w:r>
        <w:rPr>
          <w:rFonts w:hint="default" w:ascii="Times New Roman" w:hAnsi="Times New Roman" w:eastAsia="Times New Roman" w:cs="Times New Roman"/>
          <w:sz w:val="28"/>
          <w:szCs w:val="28"/>
          <w:highlight w:val="none"/>
          <w:lang w:eastAsia="ru-RU"/>
        </w:rPr>
        <w:t>-</w:t>
      </w:r>
      <w:r>
        <w:rPr>
          <w:rFonts w:hint="default" w:ascii="Times New Roman" w:hAnsi="Times New Roman" w:eastAsia="Times New Roman" w:cs="Times New Roman"/>
          <w:sz w:val="28"/>
          <w:szCs w:val="28"/>
          <w:highlight w:val="none"/>
          <w:lang w:eastAsia="ru-RU"/>
        </w:rPr>
        <w:t xml:space="preserve"> в журнале, индексируемом в базах данных Scopus и Clarivate Analytics.</w:t>
      </w:r>
    </w:p>
    <w:p w14:paraId="3162AE29">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eastAsia="ru-RU"/>
        </w:rPr>
        <w:t>Полученные свидетельства об авторском праве</w:t>
      </w:r>
    </w:p>
    <w:p w14:paraId="31C03110">
      <w:pPr>
        <w:numPr>
          <w:ilvl w:val="0"/>
          <w:numId w:val="6"/>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Авторское свидетельство №53238 от 8 января 2025 года: «Прогностическое значение маркеров железообмена (гепсидин, эритропоэтин, ферритин) при анемии у беременных женщин с предгестационным ожирением».</w:t>
      </w:r>
    </w:p>
    <w:p w14:paraId="3527084F">
      <w:pPr>
        <w:numPr>
          <w:ilvl w:val="0"/>
          <w:numId w:val="6"/>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Авторское свидетельство №53486 от 15 января 2025 года: «Прогностическое значение маркеров воспаления (интерлейкин-6, С-реактивный белок) при анемии у беременных женщин с предгестационным ожирением».</w:t>
      </w:r>
    </w:p>
    <w:p w14:paraId="35767BD7">
      <w:pPr>
        <w:numPr>
          <w:ilvl w:val="0"/>
          <w:numId w:val="6"/>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Авторское свидетельство №53626 от 20 января 2025 года: «Патогенетический алгоритм развития анемии на фоне хронического воспаления при высоком индексе массы тела».</w:t>
      </w:r>
    </w:p>
    <w:p w14:paraId="1D79C957">
      <w:pPr>
        <w:shd w:val="clear"/>
        <w:spacing w:after="0" w:line="240" w:lineRule="auto"/>
        <w:ind w:firstLine="709"/>
        <w:jc w:val="both"/>
        <w:rPr>
          <w:rFonts w:hint="default" w:ascii="Times New Roman" w:hAnsi="Times New Roman" w:eastAsia="Times New Roman" w:cs="Times New Roman"/>
          <w:b/>
          <w:sz w:val="28"/>
          <w:szCs w:val="28"/>
          <w:highlight w:val="none"/>
          <w:lang w:eastAsia="ru-RU"/>
        </w:rPr>
      </w:pPr>
      <w:r>
        <w:rPr>
          <w:rFonts w:hint="default" w:ascii="Times New Roman" w:hAnsi="Times New Roman" w:eastAsia="Times New Roman" w:cs="Times New Roman"/>
          <w:b/>
          <w:sz w:val="28"/>
          <w:szCs w:val="28"/>
          <w:highlight w:val="none"/>
          <w:lang w:eastAsia="ru-RU"/>
        </w:rPr>
        <w:t>Материалы и методы исследования</w:t>
      </w:r>
    </w:p>
    <w:p w14:paraId="642DC719">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Данное исследование представляет собой клиническое исследование с элементами случайного контроля. В исследование были включены 167 беременных женщин в сроке беременности от 25 до 40 недель. Исследование проводилось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в Институте наук о жизни на базе</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 </w:t>
      </w:r>
      <w:r>
        <w:rPr>
          <w:rFonts w:hint="default" w:ascii="Times New Roman" w:hAnsi="Times New Roman" w:eastAsia="Times New Roman" w:cs="Times New Roman"/>
          <w:sz w:val="28"/>
          <w:szCs w:val="28"/>
          <w:highlight w:val="none"/>
          <w:lang w:eastAsia="ru-RU"/>
        </w:rPr>
        <w:t>НАО «Карагандинский медицинский университет» и в условиях Перинатального центра №1 Коммунального государственного предприятия «Областная клиническая больница».</w:t>
      </w:r>
    </w:p>
    <w:p w14:paraId="695356A5">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Возраст обследованных составил от 20 до 37 лет. Клинические данные анализировали</w:t>
      </w:r>
      <w:bookmarkStart w:id="1" w:name="_GoBack"/>
      <w:bookmarkEnd w:id="1"/>
      <w:r>
        <w:rPr>
          <w:rFonts w:hint="default" w:ascii="Times New Roman" w:hAnsi="Times New Roman" w:eastAsia="Times New Roman" w:cs="Times New Roman"/>
          <w:sz w:val="28"/>
          <w:szCs w:val="28"/>
          <w:highlight w:val="none"/>
          <w:lang w:eastAsia="ru-RU"/>
        </w:rPr>
        <w:t xml:space="preserve"> из медицинских историй, заполняемых при поступлении беременных в акушерский стационар, а также из обменных карт и анкетирования. </w:t>
      </w:r>
      <w:r>
        <w:rPr>
          <w:rFonts w:hint="default" w:ascii="Times New Roman" w:hAnsi="Times New Roman" w:eastAsia="Times New Roman" w:cs="Times New Roman"/>
          <w:sz w:val="28"/>
          <w:szCs w:val="28"/>
          <w:highlight w:val="none"/>
          <w:lang w:eastAsia="ru-RU"/>
        </w:rPr>
        <w:t xml:space="preserve">В зависимости от индекса массы тела (ИМТ) и наличия анемии участницы были разделены на четыре группы: контрольная группа (здоровые беременные с нормальным ИМТ, </w:t>
      </w:r>
      <w:r>
        <w:rPr>
          <w:rFonts w:hint="default" w:ascii="Times New Roman" w:hAnsi="Times New Roman" w:eastAsia="Times New Roman" w:cs="Times New Roman"/>
          <w:i/>
          <w:iCs/>
          <w:sz w:val="28"/>
          <w:szCs w:val="28"/>
          <w:highlight w:val="none"/>
          <w:lang w:eastAsia="ru-RU"/>
        </w:rPr>
        <w:t>n</w:t>
      </w:r>
      <w:r>
        <w:rPr>
          <w:rFonts w:hint="default" w:ascii="Times New Roman" w:hAnsi="Times New Roman" w:eastAsia="Times New Roman" w:cs="Times New Roman"/>
          <w:sz w:val="28"/>
          <w:szCs w:val="28"/>
          <w:highlight w:val="none"/>
          <w:lang w:eastAsia="ru-RU"/>
        </w:rPr>
        <w:t>=43), беременные с нормальным ИМТ и анемией (</w:t>
      </w:r>
      <w:r>
        <w:rPr>
          <w:rFonts w:hint="default" w:ascii="Times New Roman" w:hAnsi="Times New Roman" w:eastAsia="Times New Roman" w:cs="Times New Roman"/>
          <w:i/>
          <w:iCs/>
          <w:sz w:val="28"/>
          <w:szCs w:val="28"/>
          <w:highlight w:val="none"/>
          <w:lang w:eastAsia="ru-RU"/>
        </w:rPr>
        <w:t>n</w:t>
      </w:r>
      <w:r>
        <w:rPr>
          <w:rFonts w:hint="default" w:ascii="Times New Roman" w:hAnsi="Times New Roman" w:eastAsia="Times New Roman" w:cs="Times New Roman"/>
          <w:sz w:val="28"/>
          <w:szCs w:val="28"/>
          <w:highlight w:val="none"/>
          <w:lang w:eastAsia="ru-RU"/>
        </w:rPr>
        <w:t>=40), беременные с ожирением и анемией (</w:t>
      </w:r>
      <w:r>
        <w:rPr>
          <w:rFonts w:hint="default" w:ascii="Times New Roman" w:hAnsi="Times New Roman" w:eastAsia="Times New Roman" w:cs="Times New Roman"/>
          <w:i/>
          <w:iCs/>
          <w:sz w:val="28"/>
          <w:szCs w:val="28"/>
          <w:highlight w:val="none"/>
          <w:lang w:eastAsia="ru-RU"/>
        </w:rPr>
        <w:t>n</w:t>
      </w:r>
      <w:r>
        <w:rPr>
          <w:rFonts w:hint="default" w:ascii="Times New Roman" w:hAnsi="Times New Roman" w:eastAsia="Times New Roman" w:cs="Times New Roman"/>
          <w:sz w:val="28"/>
          <w:szCs w:val="28"/>
          <w:highlight w:val="none"/>
          <w:lang w:eastAsia="ru-RU"/>
        </w:rPr>
        <w:t>=48), а также беременные с ожирением без анемии (</w:t>
      </w:r>
      <w:r>
        <w:rPr>
          <w:rFonts w:hint="default" w:ascii="Times New Roman" w:hAnsi="Times New Roman" w:eastAsia="Times New Roman" w:cs="Times New Roman"/>
          <w:i/>
          <w:iCs/>
          <w:sz w:val="28"/>
          <w:szCs w:val="28"/>
          <w:highlight w:val="none"/>
          <w:lang w:eastAsia="ru-RU"/>
        </w:rPr>
        <w:t>n</w:t>
      </w:r>
      <w:r>
        <w:rPr>
          <w:rFonts w:hint="default" w:ascii="Times New Roman" w:hAnsi="Times New Roman" w:eastAsia="Times New Roman" w:cs="Times New Roman"/>
          <w:sz w:val="28"/>
          <w:szCs w:val="28"/>
          <w:highlight w:val="none"/>
          <w:lang w:eastAsia="ru-RU"/>
        </w:rPr>
        <w:t>=36).</w:t>
      </w:r>
      <w:r>
        <w:rPr>
          <w:rFonts w:hint="default" w:ascii="Times New Roman" w:hAnsi="Times New Roman" w:eastAsia="Times New Roman" w:cs="Times New Roman"/>
          <w:sz w:val="28"/>
          <w:szCs w:val="28"/>
          <w:highlight w:val="none"/>
          <w:lang w:eastAsia="ru-RU"/>
        </w:rPr>
        <w:t xml:space="preserve"> </w:t>
      </w:r>
    </w:p>
    <w:p w14:paraId="3D2FD5FA">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В исследование были включены беременные женщины с железодефицитной анемией. Диагностика ЖДА проводилась в соответствии с клиническим протоколом №119 «Дефицитные анемии у беременных», утверждённым Объединённой комиссией по качеству медицинских услуг Министерства здравоохранения Республики Казахстан 30 октября 2020 г.</w:t>
      </w:r>
    </w:p>
    <w:p w14:paraId="6F30B015">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Лабораторные и клинические обследования, а также анкетирование </w:t>
      </w:r>
      <w:r>
        <w:rPr>
          <w:rFonts w:hint="default" w:ascii="Times New Roman" w:hAnsi="Times New Roman" w:eastAsia="Times New Roman" w:cs="Times New Roman"/>
          <w:sz w:val="28"/>
          <w:szCs w:val="28"/>
          <w:highlight w:val="none"/>
          <w:lang w:eastAsia="ru-RU"/>
        </w:rPr>
        <w:t>проводились на базе Перинатального центра №1 Областной клинической больницы Карагандинской области. Иммуноферментный анализ биоматериала осуществлялся в Институте наук о жизни НАО</w:t>
      </w:r>
      <w:r>
        <w:rPr>
          <w:rFonts w:hint="default" w:ascii="Times New Roman" w:hAnsi="Times New Roman" w:eastAsia="Times New Roman" w:cs="Times New Roman"/>
          <w:sz w:val="28"/>
          <w:szCs w:val="28"/>
          <w:highlight w:val="none"/>
          <w:lang w:eastAsia="ru-RU"/>
        </w:rPr>
        <w:t xml:space="preserve"> «Карагандинский медицинский университет».  Уровни гепсидина, ферритина, эритропоэтина, С-реактивного белка (СРБ) и интерлейкина-6 (ИЛ-6) определены методом иммуноферментного анализа</w:t>
      </w:r>
    </w:p>
    <w:p w14:paraId="39E014C8">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Для каждой участницы исследования индивидуально регистрировались анамнестические данные, результаты дополнительных обследований и особенности родоразрешения. Все клинико-лабораторные данные были извлечены из истории болезни, обменных карт и использовались для оценки влияния ожирения на дефицит железа.</w:t>
      </w:r>
    </w:p>
    <w:p w14:paraId="648A1FEF">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На одном из этапов исследования у всех беременных женщин, включённых в исследование, проводился забор венозной крови объёмом 5 мл для иммуноферментного анализа. Для получения сыворотки кровь центрифугировали, а затем распределяли в вакуумные пробирки объёмом 5 мл (размер 13×100 мм) с жёлтой крышкой и гелем.</w:t>
      </w:r>
    </w:p>
    <w:p w14:paraId="21F80784">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Анализ сыворотки крови осуществлялся на аппарате EVOLIS производства BioRad. EVOLIS - полностью автоматизированный анализатор для проведения иммуноферментного анализа (ИФА), обеспечивающий высокую точность определения биомаркеров. Устройство применялось для анализа всех маркеров, используемых в исследовании: гепсидина, ферритина, эритропоэтина, С-реактивного белка и </w:t>
      </w:r>
      <w:r>
        <w:rPr>
          <w:rFonts w:hint="default" w:ascii="Times New Roman" w:hAnsi="Times New Roman" w:eastAsia="Times New Roman" w:cs="Times New Roman"/>
          <w:sz w:val="28"/>
          <w:szCs w:val="28"/>
          <w:highlight w:val="none"/>
          <w:lang w:eastAsia="ru-RU"/>
        </w:rPr>
        <w:t>интерлейкина-6,</w:t>
      </w:r>
      <w:r>
        <w:rPr>
          <w:rFonts w:hint="default" w:ascii="Times New Roman" w:hAnsi="Times New Roman" w:eastAsia="Times New Roman" w:cs="Times New Roman"/>
          <w:sz w:val="28"/>
          <w:szCs w:val="28"/>
          <w:highlight w:val="none"/>
          <w:lang w:eastAsia="ru-RU"/>
        </w:rPr>
        <w:t xml:space="preserve"> что повышало достоверность полученных результатов.</w:t>
      </w:r>
    </w:p>
    <w:p w14:paraId="434517D0">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b/>
          <w:bCs/>
          <w:sz w:val="28"/>
          <w:szCs w:val="28"/>
          <w:highlight w:val="none"/>
          <w:lang w:eastAsia="ru-RU"/>
        </w:rPr>
        <w:t>Статистическая обработка данных</w:t>
      </w:r>
      <w:r>
        <w:rPr>
          <w:rFonts w:hint="default" w:ascii="Times New Roman" w:hAnsi="Times New Roman" w:eastAsia="Times New Roman" w:cs="Times New Roman"/>
          <w:sz w:val="28"/>
          <w:szCs w:val="28"/>
          <w:highlight w:val="none"/>
          <w:lang w:eastAsia="ru-RU"/>
        </w:rPr>
        <w:t xml:space="preserve"> проводилась с использованием программного обеспечения </w:t>
      </w:r>
      <w:r>
        <w:rPr>
          <w:rFonts w:hint="default" w:ascii="Times New Roman" w:hAnsi="Times New Roman" w:eastAsia="Times New Roman" w:cs="Times New Roman"/>
          <w:b/>
          <w:bCs/>
          <w:sz w:val="28"/>
          <w:szCs w:val="28"/>
          <w:highlight w:val="none"/>
          <w:lang w:eastAsia="ru-RU"/>
        </w:rPr>
        <w:t>STATISTICA 13.3</w:t>
      </w:r>
      <w:r>
        <w:rPr>
          <w:rFonts w:hint="default" w:ascii="Times New Roman" w:hAnsi="Times New Roman" w:eastAsia="Times New Roman" w:cs="Times New Roman"/>
          <w:sz w:val="28"/>
          <w:szCs w:val="28"/>
          <w:highlight w:val="none"/>
          <w:lang w:eastAsia="ru-RU"/>
        </w:rPr>
        <w:t xml:space="preserve"> и </w:t>
      </w:r>
      <w:r>
        <w:rPr>
          <w:rFonts w:hint="default" w:ascii="Times New Roman" w:hAnsi="Times New Roman" w:eastAsia="Times New Roman" w:cs="Times New Roman"/>
          <w:b/>
          <w:bCs/>
          <w:sz w:val="28"/>
          <w:szCs w:val="28"/>
          <w:highlight w:val="none"/>
          <w:lang w:eastAsia="ru-RU"/>
        </w:rPr>
        <w:t>SPSS 30.0</w:t>
      </w:r>
      <w:r>
        <w:rPr>
          <w:rFonts w:hint="default" w:ascii="Times New Roman" w:hAnsi="Times New Roman" w:eastAsia="Times New Roman" w:cs="Times New Roman"/>
          <w:sz w:val="28"/>
          <w:szCs w:val="28"/>
          <w:highlight w:val="none"/>
          <w:lang w:eastAsia="ru-RU"/>
        </w:rPr>
        <w:t>. Для проверки нормальности распределения использовались методы описательной статистики и критерий Колмогорова–Смирнова с поправкой по Шапиро–Уилку. Если значение p было больше 0,05, распределение считалось статистически неотличимым от нормального.</w:t>
      </w:r>
    </w:p>
    <w:p w14:paraId="4CAF5DA1">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Средние значения описывались через медиану и стандартное отклонение. Для сравнения четырёх групп применялся критерий Краскела–Уоллиса, а для парных сравнений — критерий Манна–Уитни. Различия считались статистически значимыми при p&lt;0,05.</w:t>
      </w:r>
    </w:p>
    <w:p w14:paraId="7EA7C5DF">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Для анализа категориальных данных между четырьмя независимыми группами ис</w:t>
      </w:r>
      <w:r>
        <w:rPr>
          <w:rFonts w:hint="default" w:ascii="Times New Roman" w:hAnsi="Times New Roman" w:eastAsia="Times New Roman" w:cs="Times New Roman"/>
          <w:sz w:val="28"/>
          <w:szCs w:val="28"/>
          <w:highlight w:val="none"/>
          <w:lang w:eastAsia="ru-RU"/>
        </w:rPr>
        <w:t>пользовались критерий хи-квадрат Пирсона и точный критерий Фишера. Для корреляционного анализа применялся метод Спирмена.</w:t>
      </w:r>
    </w:p>
    <w:p w14:paraId="055EFACB">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Для оценки влияния независимых переменных на зависимую переменную применялись методы регрессионного анализа. Множественная линейная регрессия использовалась для оценки влияния нескольких факторов, при этом оценивались коэффициент детерминации (R²) и статистическая значимость отдельных переменных. Для прогнозирования бинарной зависимой переменной применялась логистическая регрессия. Результаты логистического анализа выражались через коэффициенты шансов (Odds Ratio). Оценка качества модели проводилась по площади под кривой (AUC) и с использованием теста Хосмера–Лемешова.</w:t>
      </w:r>
    </w:p>
    <w:p w14:paraId="42FBE4B4">
      <w:pPr>
        <w:shd w:val="clear"/>
        <w:spacing w:after="0" w:line="240" w:lineRule="auto"/>
        <w:ind w:firstLine="709"/>
        <w:jc w:val="both"/>
        <w:rPr>
          <w:rFonts w:hint="default" w:ascii="Times New Roman" w:hAnsi="Times New Roman" w:eastAsia="Times New Roman" w:cs="Times New Roman"/>
          <w:sz w:val="28"/>
          <w:szCs w:val="28"/>
          <w:highlight w:val="none"/>
          <w:lang w:eastAsia="ru-RU"/>
        </w:rPr>
      </w:pPr>
    </w:p>
    <w:p w14:paraId="27C7FE1C">
      <w:pPr>
        <w:shd w:val="clear"/>
        <w:spacing w:after="0" w:line="240" w:lineRule="auto"/>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b/>
          <w:bCs/>
          <w:sz w:val="28"/>
          <w:szCs w:val="28"/>
          <w:highlight w:val="none"/>
          <w:lang w:val="kk-KZ" w:eastAsia="ru-RU"/>
        </w:rPr>
        <w:t>Выводы</w:t>
      </w:r>
      <w:r>
        <w:rPr>
          <w:rFonts w:hint="default" w:ascii="Times New Roman" w:hAnsi="Times New Roman" w:eastAsia="Times New Roman" w:cs="Times New Roman"/>
          <w:b/>
          <w:bCs/>
          <w:sz w:val="28"/>
          <w:szCs w:val="28"/>
          <w:highlight w:val="none"/>
          <w:lang w:eastAsia="ru-RU"/>
        </w:rPr>
        <w:t xml:space="preserve"> исследования</w:t>
      </w:r>
    </w:p>
    <w:p w14:paraId="63868F96">
      <w:pPr>
        <w:numPr>
          <w:ilvl w:val="0"/>
          <w:numId w:val="7"/>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szCs w:val="28"/>
          <w:highlight w:val="none"/>
        </w:rPr>
        <w:t xml:space="preserve">Уровень гепсидина у беременных с анемией и ожирением </w:t>
      </w:r>
      <w:r>
        <w:rPr>
          <w:rFonts w:hint="default" w:ascii="Times New Roman" w:hAnsi="Times New Roman" w:eastAsia="Times New Roman" w:cs="Times New Roman"/>
          <w:sz w:val="28"/>
          <w:szCs w:val="28"/>
          <w:highlight w:val="none"/>
          <w:lang w:eastAsia="ru-RU"/>
        </w:rPr>
        <w:t>установлено в три раза выше</w:t>
      </w:r>
      <w:r>
        <w:rPr>
          <w:rFonts w:hint="default" w:ascii="Times New Roman" w:hAnsi="Times New Roman" w:eastAsia="Times New Roman" w:cs="Times New Roman"/>
          <w:color w:val="FF0000"/>
          <w:sz w:val="28"/>
          <w:szCs w:val="28"/>
          <w:highlight w:val="none"/>
          <w:lang w:eastAsia="ru-RU"/>
        </w:rPr>
        <w:t xml:space="preserve"> </w:t>
      </w:r>
      <w:r>
        <w:rPr>
          <w:rFonts w:hint="default" w:ascii="Times New Roman" w:hAnsi="Times New Roman" w:cs="Times New Roman"/>
          <w:sz w:val="28"/>
          <w:szCs w:val="28"/>
          <w:highlight w:val="none"/>
        </w:rPr>
        <w:t>: Me = 1786,59 (Q1: 1510,64–Q3: 1940,43), тогда как в контрольной группе этот показатель достигал Me = 568,01 (Q1: 314,35–Q3: 688,43), p = 0,010. Эти данные подчёркивают ключевую роль гепсидина в формировании воспалительного ответа и нарушении обмена железа.</w:t>
      </w:r>
      <w:r>
        <w:rPr>
          <w:rFonts w:hint="default" w:ascii="Times New Roman" w:hAnsi="Times New Roman" w:cs="Times New Roman"/>
          <w:sz w:val="28"/>
          <w:szCs w:val="28"/>
          <w:highlight w:val="none"/>
          <w:lang w:val="kk-KZ"/>
        </w:rPr>
        <w:t xml:space="preserve"> </w:t>
      </w:r>
      <w:r>
        <w:rPr>
          <w:rFonts w:hint="default" w:ascii="Times New Roman" w:hAnsi="Times New Roman" w:cs="Times New Roman"/>
          <w:sz w:val="28"/>
          <w:szCs w:val="28"/>
          <w:highlight w:val="none"/>
        </w:rPr>
        <w:t xml:space="preserve">Запасы железа, оцениваемые по уровню ферритина, напротив, оказались снижены: при сочетании анемии с ожирением </w:t>
      </w:r>
      <w:r>
        <w:rPr>
          <w:rFonts w:hint="default" w:ascii="Times New Roman" w:hAnsi="Times New Roman" w:cs="Times New Roman"/>
          <w:sz w:val="28"/>
          <w:szCs w:val="28"/>
          <w:highlight w:val="none"/>
          <w:lang w:val="kk-KZ"/>
        </w:rPr>
        <w:t>уолвень</w:t>
      </w:r>
      <w:r>
        <w:rPr>
          <w:rFonts w:hint="default" w:ascii="Times New Roman" w:hAnsi="Times New Roman" w:cs="Times New Roman"/>
          <w:sz w:val="28"/>
          <w:szCs w:val="28"/>
          <w:highlight w:val="none"/>
        </w:rPr>
        <w:t xml:space="preserve"> ферритина составила Me = 8,49 (Q1: 4,56–Q3: 13,19), что на 57% ниже, чем у здоровых беременных — Me = 19,65 (Q1: 17,61–Q3: 32,81), p = 0,031. Это свидетельствует о функциональном дефиците железа на фоне сохраняющейся воспалительной активации.</w:t>
      </w:r>
      <w:r>
        <w:rPr>
          <w:rFonts w:hint="default" w:ascii="Times New Roman" w:hAnsi="Times New Roman" w:cs="Times New Roman"/>
          <w:sz w:val="28"/>
          <w:szCs w:val="28"/>
          <w:highlight w:val="none"/>
          <w:lang w:val="kk-KZ"/>
        </w:rPr>
        <w:t xml:space="preserve"> </w:t>
      </w:r>
      <w:r>
        <w:rPr>
          <w:rFonts w:hint="default" w:ascii="Times New Roman" w:hAnsi="Times New Roman" w:cs="Times New Roman"/>
          <w:sz w:val="28"/>
          <w:szCs w:val="28"/>
          <w:highlight w:val="none"/>
        </w:rPr>
        <w:t>Уровень эритропоэтина у беременных с анемией и ожирением был снижен по сравнению с пациентками, имеющими изолированную анемию: Me = 23,5 (Q1: 20,1–Q3: 27,4) и Me = 34,9 (Q1: 30,5–Q3: 38,2) соответственно, p &lt; 0,01. Данный факт может указывать на угнетение продукции эритропоэтина, опосредованное хроническим воспалением.</w:t>
      </w:r>
      <w:r>
        <w:rPr>
          <w:rFonts w:hint="default" w:ascii="Times New Roman" w:hAnsi="Times New Roman" w:cs="Times New Roman"/>
          <w:sz w:val="28"/>
          <w:szCs w:val="28"/>
          <w:highlight w:val="none"/>
          <w:lang w:val="kk-KZ"/>
        </w:rPr>
        <w:t xml:space="preserve"> </w:t>
      </w:r>
      <w:r>
        <w:rPr>
          <w:rFonts w:hint="default" w:ascii="Times New Roman" w:hAnsi="Times New Roman" w:cs="Times New Roman"/>
          <w:sz w:val="28"/>
          <w:szCs w:val="28"/>
          <w:highlight w:val="none"/>
        </w:rPr>
        <w:t>Концентрация интерлейкина-6 у женщин с сочетанием анемии и ожирения была увеличена в 2,6 раза: Me = 6,2 (Q1: 5,4–Q3: 7,1) при Me = 2,4 (Q1: 2,0–Q3: 2,9) у здоровых беременных, p &lt; 0,001. Это подчёркивает выраженность системного воспалительного ответа в данной группе.</w:t>
      </w:r>
      <w:r>
        <w:rPr>
          <w:rFonts w:hint="default" w:ascii="Times New Roman" w:hAnsi="Times New Roman" w:cs="Times New Roman"/>
          <w:sz w:val="28"/>
          <w:szCs w:val="28"/>
          <w:highlight w:val="none"/>
          <w:lang w:val="kk-KZ"/>
        </w:rPr>
        <w:t xml:space="preserve"> </w:t>
      </w:r>
      <w:r>
        <w:rPr>
          <w:rFonts w:hint="default" w:ascii="Times New Roman" w:hAnsi="Times New Roman" w:cs="Times New Roman"/>
          <w:sz w:val="28"/>
          <w:szCs w:val="28"/>
          <w:highlight w:val="none"/>
        </w:rPr>
        <w:t>Уровень С-реактивного белка составил Me = 8,50 (Q1: 6,34–Q3: 12,37), что также был статистически значимо выше по сравнению с показателями контрольной группы: Me = 3,92 (Q1: 2,99–Q3: 4,72), p &lt; 0,001. Полученные данные подтверждают наличие персистирующего воспаления и его возможную роль в патогенезе анемии при ожирении беременных.</w:t>
      </w:r>
    </w:p>
    <w:p w14:paraId="239777F4">
      <w:pPr>
        <w:numPr>
          <w:ilvl w:val="0"/>
          <w:numId w:val="7"/>
        </w:numPr>
        <w:shd w:val="clear"/>
        <w:spacing w:after="0" w:line="240" w:lineRule="auto"/>
        <w:ind w:firstLine="709"/>
        <w:jc w:val="both"/>
        <w:rPr>
          <w:rFonts w:hint="default" w:ascii="Times New Roman" w:hAnsi="Times New Roman" w:cs="Times New Roman"/>
          <w:b w:val="0"/>
          <w:bCs w:val="0"/>
          <w:sz w:val="28"/>
          <w:szCs w:val="28"/>
          <w:highlight w:val="none"/>
        </w:rPr>
      </w:pPr>
      <w:r>
        <w:rPr>
          <w:rFonts w:hint="default" w:ascii="Times New Roman" w:hAnsi="Times New Roman" w:eastAsia="SimSun" w:cs="Times New Roman"/>
          <w:sz w:val="28"/>
          <w:szCs w:val="28"/>
          <w:highlight w:val="none"/>
        </w:rPr>
        <w:t xml:space="preserve">У беременных женщин с сочетанием анемии и предгестационного ожирения достоверно чаще наблюдаются осложнения в родах и неблагоприятные перинатальные исходы, что подтверждается статистически значимыми различиями. Наиболее часто встречались гестационный диабет (χ²=14,141; p=0,0027), гипертензивные расстройства (χ²=9,958; p=0,0189), дистоция плечиков (χ²=12,069; p=0,0072), роды с макросомией (χ²=7,958; p=0,0469), а также низкие неонатальные оценки по шкале Апгар (&lt;7 баллов в </w:t>
      </w:r>
      <w:r>
        <w:rPr>
          <w:rFonts w:hint="default" w:ascii="Times New Roman" w:hAnsi="Times New Roman" w:eastAsia="SimSun" w:cs="Times New Roman"/>
          <w:b w:val="0"/>
          <w:bCs w:val="0"/>
          <w:sz w:val="28"/>
          <w:szCs w:val="28"/>
          <w:highlight w:val="none"/>
        </w:rPr>
        <w:t>первые минуты жизни) (χ²=10,594; p=0,0141).</w:t>
      </w:r>
    </w:p>
    <w:p w14:paraId="2C420792">
      <w:pPr>
        <w:numPr>
          <w:ilvl w:val="0"/>
          <w:numId w:val="7"/>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Style w:val="6"/>
          <w:rFonts w:hint="default" w:ascii="Times New Roman" w:hAnsi="Times New Roman" w:cs="Times New Roman"/>
          <w:b w:val="0"/>
          <w:bCs w:val="0"/>
          <w:sz w:val="28"/>
          <w:szCs w:val="28"/>
          <w:highlight w:val="none"/>
        </w:rPr>
        <w:t>Уровни воспалительных маркеров — С-реактивного белка (r = 0,394; p &lt; 0,01), интерлейкина-6 (r = 0,561; p &lt; 0,01), а также гепсидина (r = 0,318; p &lt; 0,01) демонстрировали положительную корреляцию с индексом массы тела, что указывает на тесную связь между хроническим воспалением, ожирением и нарушением обмена железа у беременных. Наряду с этим, выявлена отрицательная корреляция между уровнями гепсидина и гемоглобина (r = –0,407; p &lt; 0,01), что отражает роль гепсидина в ограничении мобилизации железа и снижении уровня гемоглобина.</w:t>
      </w:r>
    </w:p>
    <w:p w14:paraId="1C4EE0B4">
      <w:pPr>
        <w:numPr>
          <w:ilvl w:val="0"/>
          <w:numId w:val="7"/>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shd w:val="clear" w:fill="FFFFFF" w:themeFill="background1"/>
          <w:lang w:eastAsia="ru-RU"/>
        </w:rPr>
        <w:t>Множественный регрессионный анализ показал, что 62,5% вариаций индекса массы тела  связаны с уровнями интерлейкина-6 (r = 0,561; p &lt; 0,01), С-реактивного белка (r = 0,394; p &lt; 0,01) и гепсидина (r = 0,318; p &lt; 0,01)</w:t>
      </w:r>
      <w:r>
        <w:rPr>
          <w:rFonts w:hint="default" w:ascii="Times New Roman" w:hAnsi="Times New Roman" w:eastAsia="Times New Roman" w:cs="Times New Roman"/>
          <w:sz w:val="28"/>
          <w:szCs w:val="28"/>
          <w:highlight w:val="none"/>
          <w:shd w:val="clear" w:fill="FFFFFF" w:themeFill="background1"/>
          <w:lang w:val="kk-KZ" w:eastAsia="ru-RU"/>
        </w:rPr>
        <w:t>.</w:t>
      </w:r>
      <w:r>
        <w:rPr>
          <w:rFonts w:hint="default" w:ascii="Times New Roman" w:hAnsi="Times New Roman" w:eastAsia="Times New Roman" w:cs="Times New Roman"/>
          <w:b/>
          <w:color w:val="FF0000"/>
          <w:sz w:val="28"/>
          <w:szCs w:val="28"/>
          <w:highlight w:val="none"/>
          <w:shd w:val="clear" w:fill="FFFFFF" w:themeFill="background1"/>
          <w:lang w:val="kk-KZ" w:eastAsia="ru-RU"/>
        </w:rPr>
        <w:t xml:space="preserve"> </w:t>
      </w:r>
      <w:r>
        <w:rPr>
          <w:rFonts w:hint="default" w:ascii="Times New Roman" w:hAnsi="Times New Roman" w:eastAsia="Times New Roman" w:cs="Times New Roman"/>
          <w:sz w:val="28"/>
          <w:szCs w:val="28"/>
          <w:highlight w:val="none"/>
          <w:shd w:val="clear" w:fill="FFFFFF" w:themeFill="background1"/>
          <w:lang w:eastAsia="ru-RU"/>
        </w:rPr>
        <w:t xml:space="preserve">Результаты логистической регрессии установили, что повышение уровня гепсидина на 1 ед. увеличивает риск анемии на 0,3% (Exp(B) = 1,003; p &lt; 0,001),  увеличение интерлейкина-6 </w:t>
      </w:r>
      <w:r>
        <w:rPr>
          <w:rFonts w:hint="default" w:ascii="Times New Roman" w:hAnsi="Times New Roman" w:eastAsia="Times New Roman" w:cs="Times New Roman"/>
          <w:sz w:val="28"/>
          <w:szCs w:val="28"/>
          <w:highlight w:val="none"/>
          <w:shd w:val="clear" w:fill="FFFFFF" w:themeFill="background1"/>
          <w:lang w:val="kk-KZ" w:eastAsia="ru-RU"/>
        </w:rPr>
        <w:t>-</w:t>
      </w:r>
      <w:r>
        <w:rPr>
          <w:rFonts w:hint="default" w:ascii="Times New Roman" w:hAnsi="Times New Roman" w:eastAsia="Times New Roman" w:cs="Times New Roman"/>
          <w:sz w:val="28"/>
          <w:szCs w:val="28"/>
          <w:highlight w:val="none"/>
          <w:shd w:val="clear" w:fill="FFFFFF" w:themeFill="background1"/>
          <w:lang w:eastAsia="ru-RU"/>
        </w:rPr>
        <w:t xml:space="preserve"> на 29,1% (Exp(B)=1,291; p= 0</w:t>
      </w:r>
      <w:r>
        <w:rPr>
          <w:rFonts w:hint="default" w:ascii="Times New Roman" w:hAnsi="Times New Roman" w:eastAsia="Times New Roman" w:cs="Times New Roman"/>
          <w:sz w:val="28"/>
          <w:szCs w:val="28"/>
          <w:highlight w:val="none"/>
          <w:shd w:val="clear" w:fill="FFFFFF" w:themeFill="background1"/>
          <w:lang w:eastAsia="ru-RU"/>
        </w:rPr>
        <w:t xml:space="preserve">,002). </w:t>
      </w:r>
      <w:r>
        <w:rPr>
          <w:rFonts w:hint="default" w:ascii="Times New Roman" w:hAnsi="Times New Roman" w:eastAsia="SimSun" w:cs="Times New Roman"/>
          <w:sz w:val="28"/>
          <w:szCs w:val="28"/>
          <w:highlight w:val="none"/>
        </w:rPr>
        <w:t>Вместе с тем, увеличение индекса массы тела (Exp(B) = 0,846; p = 0,029) и уровня С-реактивного белка (Exp(B) = 0,882; p = 0,032) ассоциировались с умеренным снижением риска анемии, что, вероятно, связано с особенностями структуры выборки, компенсаторными механизмами при изолированном ожирении или иными метаболическими адаптациями.</w:t>
      </w:r>
      <w:r>
        <w:rPr>
          <w:rFonts w:hint="default" w:ascii="Times New Roman" w:hAnsi="Times New Roman" w:eastAsia="SimSun" w:cs="Times New Roman"/>
          <w:sz w:val="28"/>
          <w:szCs w:val="28"/>
          <w:highlight w:val="none"/>
          <w:lang w:val="kk-KZ"/>
        </w:rPr>
        <w:t xml:space="preserve"> </w:t>
      </w:r>
      <w:r>
        <w:rPr>
          <w:rFonts w:hint="default" w:ascii="Times New Roman" w:hAnsi="Times New Roman" w:eastAsia="SimSun" w:cs="Times New Roman"/>
          <w:sz w:val="28"/>
          <w:szCs w:val="28"/>
          <w:highlight w:val="none"/>
        </w:rPr>
        <w:t>Прогностическая модель продемонстрировала высокую точность классификации (77,8%) и надёжную диагностическую способность (AUC = 0,864; 95% CI = 0,810–0,918; p &lt; 0,001), что позволяет рассматривать данные биомаркеры как перспективные инструменты стратификации риска анемии у беременных с ожирением.</w:t>
      </w:r>
    </w:p>
    <w:p w14:paraId="65693E93">
      <w:pPr>
        <w:numPr>
          <w:numId w:val="0"/>
        </w:numPr>
        <w:shd w:val="clear"/>
        <w:spacing w:after="0" w:line="240" w:lineRule="auto"/>
        <w:ind w:left="1429" w:leftChars="0"/>
        <w:jc w:val="both"/>
        <w:rPr>
          <w:rFonts w:hint="default" w:ascii="Times New Roman" w:hAnsi="Times New Roman" w:eastAsia="Times New Roman" w:cs="Times New Roman"/>
          <w:sz w:val="28"/>
          <w:szCs w:val="28"/>
          <w:highlight w:val="none"/>
          <w:lang w:eastAsia="ru-RU"/>
        </w:rPr>
      </w:pPr>
    </w:p>
    <w:p w14:paraId="190F16AF">
      <w:pPr>
        <w:numPr>
          <w:ilvl w:val="0"/>
          <w:numId w:val="7"/>
        </w:numPr>
        <w:shd w:val="clear"/>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Предложенный алгоритм патогенеза развития анемии при предгестационном ожирении показывает, что накопление жировой ткани сопровождается повышением уровней интерлекина-6 и С-реактивного белка (соответственно: r = 0,561, p &lt; 0,01 и r = 0,394, p &lt; 0,01),  стимулирующих синтез гепсидина (Me = 1786,59 [Q1: 1510,64 – Q3: 1940,43], p &lt; 0,001); нарушается всасывание и высвобождение железа, что приводит к снижению уровня ферритина (Me = 8,49 [Q1: 4,56 – Q3: 13,19], p &lt; 0,05), угнетению синтеза эритропоэтина (Me = 51,04 [Q1: 30,87 – Q3: 110,92], p &lt; 0,05), значительному снижению уровня гемоглобина (Me = 102,3 [Q1: 90,1 – Q3: 115,8], p &lt; 0,001) с развитием анемии и увеличением риска перинатальных осложнений.</w:t>
      </w:r>
    </w:p>
    <w:p w14:paraId="37601070">
      <w:pPr>
        <w:shd w:val="clear"/>
        <w:spacing w:after="0" w:line="240" w:lineRule="auto"/>
        <w:ind w:left="1429"/>
        <w:jc w:val="both"/>
        <w:rPr>
          <w:rFonts w:hint="default" w:ascii="Times New Roman" w:hAnsi="Times New Roman" w:eastAsia="Times New Roman" w:cs="Times New Roman"/>
          <w:sz w:val="28"/>
          <w:szCs w:val="28"/>
          <w:highlight w:val="none"/>
          <w:lang w:eastAsia="ru-RU"/>
        </w:rPr>
      </w:pPr>
    </w:p>
    <w:p w14:paraId="1C5C9875">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val="kk-KZ" w:eastAsia="ru-RU"/>
        </w:rPr>
      </w:pPr>
      <w:r>
        <w:rPr>
          <w:rFonts w:hint="default" w:ascii="Times New Roman" w:hAnsi="Times New Roman" w:eastAsia="Times New Roman" w:cs="Times New Roman"/>
          <w:b/>
          <w:bCs/>
          <w:sz w:val="28"/>
          <w:szCs w:val="28"/>
          <w:highlight w:val="none"/>
          <w:lang w:eastAsia="ru-RU"/>
        </w:rPr>
        <w:t>Практические рекомендации</w:t>
      </w:r>
    </w:p>
    <w:p w14:paraId="7F3F2349">
      <w:pPr>
        <w:shd w:val="clear"/>
        <w:spacing w:after="0" w:line="240" w:lineRule="auto"/>
        <w:ind w:firstLine="709"/>
        <w:jc w:val="both"/>
        <w:outlineLvl w:val="2"/>
        <w:rPr>
          <w:rFonts w:hint="default" w:ascii="Times New Roman" w:hAnsi="Times New Roman" w:eastAsia="Times New Roman" w:cs="Times New Roman"/>
          <w:b/>
          <w:bCs/>
          <w:sz w:val="28"/>
          <w:szCs w:val="28"/>
          <w:highlight w:val="none"/>
          <w:lang w:val="kk-KZ" w:eastAsia="ru-RU"/>
        </w:rPr>
      </w:pPr>
    </w:p>
    <w:p w14:paraId="2B922946">
      <w:pPr>
        <w:pStyle w:val="11"/>
        <w:numPr>
          <w:ilvl w:val="0"/>
          <w:numId w:val="8"/>
        </w:numPr>
        <w:shd w:val="clear"/>
        <w:spacing w:after="0" w:line="240" w:lineRule="auto"/>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sz w:val="28"/>
          <w:szCs w:val="28"/>
          <w:highlight w:val="none"/>
          <w:lang w:eastAsia="ru-RU"/>
        </w:rPr>
        <w:t>Оценка уровня гепсидина рекомендуется для включения в программы скрининга беременных для прогнозирования риска развития  анемии на ранних стадиях, своевременного начала терапии и профилактики осложнений.</w:t>
      </w:r>
    </w:p>
    <w:p w14:paraId="4CD4315B">
      <w:pPr>
        <w:pStyle w:val="11"/>
        <w:numPr>
          <w:ilvl w:val="0"/>
          <w:numId w:val="8"/>
        </w:numPr>
        <w:shd w:val="clear"/>
        <w:spacing w:after="0" w:line="240" w:lineRule="auto"/>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Мониторинг интерлейкина–6 и С-реактивного белка  у беременных позволит оценивать активность воспалительных процессов, связанных с ожирением. Высокая прогностическая значимость интерлейкина–6 позволяет рекомендовать его в качестве маркера  риска развития осложнении  у беременных (гестационный диабет, гипертензия, анемия). </w:t>
      </w:r>
    </w:p>
    <w:p w14:paraId="05F688C2">
      <w:pPr>
        <w:pStyle w:val="11"/>
        <w:numPr>
          <w:ilvl w:val="0"/>
          <w:numId w:val="8"/>
        </w:numPr>
        <w:shd w:val="clear"/>
        <w:spacing w:after="0" w:line="240" w:lineRule="auto"/>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Интегрированная оценка маркеров воспаления и анемии (гепсидина, ферритина, ИЛ–6 и С-реактивного белка) </w:t>
      </w:r>
      <w:r>
        <w:rPr>
          <w:rFonts w:hint="default" w:ascii="Times New Roman" w:hAnsi="Times New Roman" w:eastAsia="Times New Roman" w:cs="Times New Roman"/>
          <w:sz w:val="28"/>
          <w:szCs w:val="28"/>
          <w:highlight w:val="none"/>
          <w:lang w:val="kk-KZ" w:eastAsia="ru-RU"/>
        </w:rPr>
        <w:t xml:space="preserve">значительно </w:t>
      </w:r>
      <w:r>
        <w:rPr>
          <w:rFonts w:hint="default" w:ascii="Times New Roman" w:hAnsi="Times New Roman" w:eastAsia="Times New Roman" w:cs="Times New Roman"/>
          <w:sz w:val="28"/>
          <w:szCs w:val="28"/>
          <w:highlight w:val="none"/>
          <w:lang w:eastAsia="ru-RU"/>
        </w:rPr>
        <w:t xml:space="preserve">повышает их прогностическую значимость в ранней диагностике анемии у беременных. </w:t>
      </w:r>
    </w:p>
    <w:p w14:paraId="0ADC597C">
      <w:pPr>
        <w:pStyle w:val="11"/>
        <w:numPr>
          <w:ilvl w:val="0"/>
          <w:numId w:val="8"/>
        </w:numPr>
        <w:shd w:val="clear"/>
        <w:spacing w:after="0" w:line="240" w:lineRule="auto"/>
        <w:jc w:val="both"/>
        <w:outlineLvl w:val="2"/>
        <w:rPr>
          <w:rFonts w:hint="default" w:ascii="Times New Roman" w:hAnsi="Times New Roman" w:eastAsia="Times New Roman" w:cs="Times New Roman"/>
          <w:b/>
          <w:bCs/>
          <w:sz w:val="28"/>
          <w:szCs w:val="28"/>
          <w:highlight w:val="none"/>
          <w:lang w:eastAsia="ru-RU"/>
        </w:rPr>
      </w:pPr>
      <w:r>
        <w:rPr>
          <w:rFonts w:hint="default" w:ascii="Times New Roman" w:hAnsi="Times New Roman" w:eastAsia="Times New Roman" w:cs="Times New Roman"/>
          <w:sz w:val="28"/>
          <w:szCs w:val="28"/>
          <w:highlight w:val="none"/>
          <w:lang w:eastAsia="ru-RU"/>
        </w:rPr>
        <w:t>Разработанная прогностическая модель и патогенетический алгоритм рекомендуются как инструменты для диагностики и прогнозирования анемии, связанной с ожирением; позволяют своевременно выявлять группы риска среди беременных, определять  тактику терапии и профилактики</w:t>
      </w:r>
    </w:p>
    <w:p w14:paraId="1E055256">
      <w:pPr>
        <w:widowControl w:val="0"/>
        <w:shd w:val="clear"/>
        <w:autoSpaceDE w:val="0"/>
        <w:autoSpaceDN w:val="0"/>
        <w:spacing w:after="0" w:line="240" w:lineRule="auto"/>
        <w:jc w:val="both"/>
        <w:outlineLvl w:val="0"/>
        <w:rPr>
          <w:rFonts w:hint="default" w:ascii="Times New Roman" w:hAnsi="Times New Roman" w:eastAsia="Times New Roman" w:cs="Times New Roman"/>
          <w:sz w:val="28"/>
          <w:szCs w:val="28"/>
          <w:highlight w:val="none"/>
          <w:lang w:eastAsia="ru-RU"/>
        </w:rPr>
      </w:pPr>
    </w:p>
    <w:p w14:paraId="4D3477B8">
      <w:pPr>
        <w:widowControl w:val="0"/>
        <w:shd w:val="clear"/>
        <w:autoSpaceDE w:val="0"/>
        <w:autoSpaceDN w:val="0"/>
        <w:spacing w:after="0" w:line="240" w:lineRule="auto"/>
        <w:jc w:val="both"/>
        <w:outlineLvl w:val="0"/>
        <w:rPr>
          <w:rFonts w:hint="default" w:ascii="Times New Roman" w:hAnsi="Times New Roman" w:cs="Times New Roman"/>
          <w:b/>
          <w:bCs/>
          <w:sz w:val="28"/>
          <w:szCs w:val="28"/>
          <w:highlight w:val="none"/>
          <w:lang w:val="kk-KZ"/>
        </w:rPr>
      </w:pPr>
    </w:p>
    <w:p w14:paraId="70E1BCCF">
      <w:pPr>
        <w:widowControl w:val="0"/>
        <w:shd w:val="clear"/>
        <w:autoSpaceDE w:val="0"/>
        <w:autoSpaceDN w:val="0"/>
        <w:spacing w:after="0" w:line="240" w:lineRule="auto"/>
        <w:jc w:val="both"/>
        <w:outlineLvl w:val="0"/>
        <w:rPr>
          <w:rFonts w:hint="default" w:ascii="Times New Roman" w:hAnsi="Times New Roman" w:cs="Times New Roman"/>
          <w:b/>
          <w:bCs/>
          <w:sz w:val="28"/>
          <w:szCs w:val="28"/>
          <w:highlight w:val="none"/>
          <w:lang w:val="kk-KZ"/>
        </w:rPr>
      </w:pPr>
      <w:r>
        <w:rPr>
          <w:rFonts w:hint="default" w:ascii="Times New Roman" w:hAnsi="Times New Roman" w:cs="Times New Roman"/>
          <w:b/>
          <w:bCs/>
          <w:sz w:val="28"/>
          <w:szCs w:val="28"/>
          <w:highlight w:val="none"/>
          <w:lang w:val="kk-KZ"/>
        </w:rPr>
        <w:t>ИСПОЛЬЗОВАННЫЕ ЛИТЕРАТУРЫ</w:t>
      </w:r>
    </w:p>
    <w:p w14:paraId="1F1551C7">
      <w:pPr>
        <w:pStyle w:val="11"/>
        <w:numPr>
          <w:ilvl w:val="0"/>
          <w:numId w:val="9"/>
        </w:numPr>
        <w:shd w:val="clear"/>
        <w:spacing w:after="0" w:line="240" w:lineRule="auto"/>
        <w:jc w:val="both"/>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rPr>
        <w:t>Объединенная комиссия по качеству медицинских услуг Министерства здравоохранения Республики Казахстан от «30» октября 2020 года, Протокол №119.  Дефицитные анемии у беременных. https://diseases.medelement.com/disease/дефицитные–анемии–у–беременных–2019/16507 (қолданылған күні: 30.02.2021).</w:t>
      </w:r>
    </w:p>
    <w:p w14:paraId="0FEF0D72">
      <w:pPr>
        <w:pStyle w:val="11"/>
        <w:numPr>
          <w:ilvl w:val="0"/>
          <w:numId w:val="9"/>
        </w:numPr>
        <w:shd w:val="clear"/>
        <w:spacing w:after="0" w:line="240" w:lineRule="auto"/>
        <w:jc w:val="both"/>
        <w:rPr>
          <w:rFonts w:hint="default" w:ascii="Times New Roman" w:hAnsi="Times New Roman" w:cs="Times New Roman"/>
          <w:bCs/>
          <w:sz w:val="28"/>
          <w:szCs w:val="28"/>
          <w:highlight w:val="none"/>
        </w:rPr>
      </w:pPr>
      <w:bookmarkStart w:id="0" w:name="_Hlk197408523"/>
      <w:r>
        <w:rPr>
          <w:rFonts w:hint="default" w:ascii="Times New Roman" w:hAnsi="Times New Roman" w:cs="Times New Roman"/>
          <w:bCs/>
          <w:sz w:val="28"/>
          <w:szCs w:val="28"/>
          <w:highlight w:val="none"/>
          <w:lang w:val="en-US"/>
        </w:rPr>
        <w:t xml:space="preserve">Bothwell, T.H. Iron requirements in pregnancy and strategies to meet them // Am. J. Clin. </w:t>
      </w:r>
      <w:r>
        <w:rPr>
          <w:rFonts w:hint="default" w:ascii="Times New Roman" w:hAnsi="Times New Roman" w:cs="Times New Roman"/>
          <w:bCs/>
          <w:sz w:val="28"/>
          <w:szCs w:val="28"/>
          <w:highlight w:val="none"/>
        </w:rPr>
        <w:t>Nutr. –2000. –Т.72. –Б.257–264. DOI: 10.1093/ajcn/72.1.257S</w:t>
      </w:r>
    </w:p>
    <w:p w14:paraId="60E39332">
      <w:pPr>
        <w:widowControl w:val="0"/>
        <w:numPr>
          <w:ilvl w:val="0"/>
          <w:numId w:val="9"/>
        </w:numPr>
        <w:shd w:val="clear"/>
        <w:autoSpaceDE w:val="0"/>
        <w:autoSpaceDN w:val="0"/>
        <w:spacing w:after="0" w:line="240" w:lineRule="auto"/>
        <w:jc w:val="both"/>
        <w:outlineLvl w:val="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Lynch S., Pfeiffer C.M., Georgieff M.K., Brittenham G., Fairweather–Tait S., Hurrell R.F., McArdle H.J., Raiten D.J. Biomarkers of Nutrition for Development (BOND)—Iron Review // J. Nutr. –2018. –</w:t>
      </w:r>
      <w:r>
        <w:rPr>
          <w:rFonts w:hint="default" w:ascii="Times New Roman" w:hAnsi="Times New Roman" w:cs="Times New Roman"/>
          <w:sz w:val="28"/>
          <w:szCs w:val="28"/>
          <w:highlight w:val="none"/>
        </w:rPr>
        <w:t>Т</w:t>
      </w:r>
      <w:r>
        <w:rPr>
          <w:rFonts w:hint="default" w:ascii="Times New Roman" w:hAnsi="Times New Roman" w:cs="Times New Roman"/>
          <w:sz w:val="28"/>
          <w:szCs w:val="28"/>
          <w:highlight w:val="none"/>
          <w:lang w:val="en-US"/>
        </w:rPr>
        <w:t>.148. –</w:t>
      </w:r>
      <w:r>
        <w:rPr>
          <w:rFonts w:hint="default" w:ascii="Times New Roman" w:hAnsi="Times New Roman" w:cs="Times New Roman"/>
          <w:sz w:val="28"/>
          <w:szCs w:val="28"/>
          <w:highlight w:val="none"/>
        </w:rPr>
        <w:t>Б</w:t>
      </w:r>
      <w:r>
        <w:rPr>
          <w:rFonts w:hint="default" w:ascii="Times New Roman" w:hAnsi="Times New Roman" w:cs="Times New Roman"/>
          <w:sz w:val="28"/>
          <w:szCs w:val="28"/>
          <w:highlight w:val="none"/>
          <w:lang w:val="en-US"/>
        </w:rPr>
        <w:t>.1001–1067.  DOI: 10.1093/jn/nxx036</w:t>
      </w:r>
    </w:p>
    <w:p w14:paraId="1592DBA1">
      <w:pPr>
        <w:pStyle w:val="11"/>
        <w:widowControl w:val="0"/>
        <w:numPr>
          <w:ilvl w:val="0"/>
          <w:numId w:val="9"/>
        </w:numPr>
        <w:shd w:val="clear"/>
        <w:autoSpaceDE w:val="0"/>
        <w:autoSpaceDN w:val="0"/>
        <w:spacing w:after="0" w:line="240" w:lineRule="auto"/>
        <w:jc w:val="both"/>
        <w:outlineLvl w:val="0"/>
        <w:rPr>
          <w:rFonts w:hint="default" w:ascii="Times New Roman" w:hAnsi="Times New Roman" w:cs="Times New Roman"/>
          <w:bCs/>
          <w:sz w:val="28"/>
          <w:szCs w:val="28"/>
          <w:highlight w:val="none"/>
        </w:rPr>
      </w:pPr>
      <w:r>
        <w:rPr>
          <w:rFonts w:hint="default" w:ascii="Times New Roman" w:hAnsi="Times New Roman" w:cs="Times New Roman"/>
          <w:sz w:val="28"/>
          <w:szCs w:val="28"/>
          <w:highlight w:val="none"/>
        </w:rPr>
        <w:t>ЮНЕСКО: Анализ положения детей и женщин в Республике Казахстан. – Казахстан: –2011. –Б.16.</w:t>
      </w:r>
    </w:p>
    <w:p w14:paraId="3E0069A2">
      <w:pPr>
        <w:pStyle w:val="11"/>
        <w:widowControl w:val="0"/>
        <w:numPr>
          <w:ilvl w:val="0"/>
          <w:numId w:val="9"/>
        </w:numPr>
        <w:shd w:val="clear"/>
        <w:autoSpaceDE w:val="0"/>
        <w:autoSpaceDN w:val="0"/>
        <w:spacing w:after="0" w:line="240" w:lineRule="auto"/>
        <w:jc w:val="both"/>
        <w:outlineLvl w:val="0"/>
        <w:rPr>
          <w:rFonts w:hint="default" w:ascii="Times New Roman" w:hAnsi="Times New Roman" w:cs="Times New Roman"/>
          <w:bCs/>
          <w:sz w:val="28"/>
          <w:szCs w:val="28"/>
          <w:highlight w:val="none"/>
        </w:rPr>
      </w:pPr>
      <w:r>
        <w:rPr>
          <w:rFonts w:hint="default" w:ascii="Times New Roman" w:hAnsi="Times New Roman" w:cs="Times New Roman"/>
          <w:sz w:val="28"/>
          <w:szCs w:val="28"/>
          <w:highlight w:val="none"/>
          <w:lang w:val="en-US"/>
        </w:rPr>
        <w:t xml:space="preserve">Yip R. Binkin N.J., Fleshood L., Trowbridge F.L. Declining prevalence of anemia among low–income children in the United States // J. Am. Med. </w:t>
      </w:r>
      <w:r>
        <w:rPr>
          <w:rFonts w:hint="default" w:ascii="Times New Roman" w:hAnsi="Times New Roman" w:cs="Times New Roman"/>
          <w:sz w:val="28"/>
          <w:szCs w:val="28"/>
          <w:highlight w:val="none"/>
        </w:rPr>
        <w:t>Assoc. –1987. –Т.258. –Б. 1619–1623.</w:t>
      </w:r>
    </w:p>
    <w:p w14:paraId="30E143E5">
      <w:pPr>
        <w:widowControl w:val="0"/>
        <w:numPr>
          <w:ilvl w:val="0"/>
          <w:numId w:val="9"/>
        </w:numPr>
        <w:shd w:val="clear"/>
        <w:autoSpaceDE w:val="0"/>
        <w:autoSpaceDN w:val="0"/>
        <w:spacing w:after="0" w:line="240" w:lineRule="auto"/>
        <w:jc w:val="both"/>
        <w:outlineLvl w:val="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rPr>
        <w:t xml:space="preserve">Swinburn B.A., Sacks G., Hall K.D., McPherson K., Finegood D.T., Moodie M.L., Gortmaker S.L. The global obesity pandemic: Shaped by global drivers and local environments. </w:t>
      </w:r>
      <w:r>
        <w:rPr>
          <w:rFonts w:hint="default" w:ascii="Times New Roman" w:hAnsi="Times New Roman" w:cs="Times New Roman"/>
          <w:sz w:val="28"/>
          <w:szCs w:val="28"/>
          <w:highlight w:val="none"/>
        </w:rPr>
        <w:t>Lancet. – 2011. – Т.378. – Б. 804–814. DOI: 10.1016/S0140–6736(11)60813–1</w:t>
      </w:r>
    </w:p>
    <w:p w14:paraId="4CF66C13">
      <w:pPr>
        <w:pStyle w:val="11"/>
        <w:numPr>
          <w:ilvl w:val="0"/>
          <w:numId w:val="9"/>
        </w:numPr>
        <w:shd w:val="clear"/>
        <w:spacing w:after="0" w:line="240" w:lineRule="auto"/>
        <w:jc w:val="both"/>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lang w:val="en-US"/>
        </w:rPr>
        <w:t xml:space="preserve">Lear S.A., Teo K., Gasevic D., Zhang X., Poirier P.P., Rangarajan S., et al. The association between ownership of common household devices and obesity and diabetes in high, middle and low income countries. </w:t>
      </w:r>
      <w:r>
        <w:rPr>
          <w:rFonts w:hint="default" w:ascii="Times New Roman" w:hAnsi="Times New Roman" w:cs="Times New Roman"/>
          <w:bCs/>
          <w:sz w:val="28"/>
          <w:szCs w:val="28"/>
          <w:highlight w:val="none"/>
        </w:rPr>
        <w:t>CMAJ. – 2014.-Т.186. – P. 258 266. DOI: 10.1503/cmaj.131090</w:t>
      </w:r>
    </w:p>
    <w:p w14:paraId="249D0479">
      <w:pPr>
        <w:pStyle w:val="11"/>
        <w:numPr>
          <w:ilvl w:val="0"/>
          <w:numId w:val="9"/>
        </w:numPr>
        <w:shd w:val="clear"/>
        <w:spacing w:after="0" w:line="240" w:lineRule="auto"/>
        <w:jc w:val="both"/>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lang w:val="en-US"/>
        </w:rPr>
        <w:t xml:space="preserve">Naylor C., Petri W.A. Jr. Leptin Regulation of Immune Responses // Trends Mol. Med. — 2016. — </w:t>
      </w:r>
      <w:r>
        <w:rPr>
          <w:rFonts w:hint="default" w:ascii="Times New Roman" w:hAnsi="Times New Roman" w:cs="Times New Roman"/>
          <w:bCs/>
          <w:sz w:val="28"/>
          <w:szCs w:val="28"/>
          <w:highlight w:val="none"/>
        </w:rPr>
        <w:t>Т</w:t>
      </w:r>
      <w:r>
        <w:rPr>
          <w:rFonts w:hint="default" w:ascii="Times New Roman" w:hAnsi="Times New Roman" w:cs="Times New Roman"/>
          <w:bCs/>
          <w:sz w:val="28"/>
          <w:szCs w:val="28"/>
          <w:highlight w:val="none"/>
          <w:lang w:val="en-US"/>
        </w:rPr>
        <w:t xml:space="preserve">.22. — </w:t>
      </w:r>
      <w:r>
        <w:rPr>
          <w:rFonts w:hint="default" w:ascii="Times New Roman" w:hAnsi="Times New Roman" w:cs="Times New Roman"/>
          <w:bCs/>
          <w:sz w:val="28"/>
          <w:szCs w:val="28"/>
          <w:highlight w:val="none"/>
        </w:rPr>
        <w:t>Б</w:t>
      </w:r>
      <w:r>
        <w:rPr>
          <w:rFonts w:hint="default" w:ascii="Times New Roman" w:hAnsi="Times New Roman" w:cs="Times New Roman"/>
          <w:bCs/>
          <w:sz w:val="28"/>
          <w:szCs w:val="28"/>
          <w:highlight w:val="none"/>
          <w:lang w:val="en-US"/>
        </w:rPr>
        <w:t xml:space="preserve">.88–98. </w:t>
      </w:r>
      <w:r>
        <w:rPr>
          <w:rFonts w:hint="default" w:ascii="Times New Roman" w:hAnsi="Times New Roman" w:cs="Times New Roman"/>
          <w:bCs/>
          <w:sz w:val="28"/>
          <w:szCs w:val="28"/>
          <w:highlight w:val="none"/>
        </w:rPr>
        <w:t>DOI: 10.1016/j.molmed.2015.12.001.</w:t>
      </w:r>
    </w:p>
    <w:p w14:paraId="36C15B31">
      <w:pPr>
        <w:pStyle w:val="11"/>
        <w:numPr>
          <w:ilvl w:val="0"/>
          <w:numId w:val="9"/>
        </w:numPr>
        <w:shd w:val="clear"/>
        <w:spacing w:after="0" w:line="240" w:lineRule="auto"/>
        <w:jc w:val="both"/>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lang w:val="en-US"/>
        </w:rPr>
        <w:t xml:space="preserve">Pendeloski K.P.T., Ono E., Torloni M.R., Mattar R., Daher S. Maternal obesity and inflammatory mediators: A controversial association // Am. J. Reprod. </w:t>
      </w:r>
      <w:r>
        <w:rPr>
          <w:rFonts w:hint="default" w:ascii="Times New Roman" w:hAnsi="Times New Roman" w:cs="Times New Roman"/>
          <w:bCs/>
          <w:sz w:val="28"/>
          <w:szCs w:val="28"/>
          <w:highlight w:val="none"/>
        </w:rPr>
        <w:t>Immunol —2017.—Т.77. — Б.1–8.</w:t>
      </w:r>
    </w:p>
    <w:p w14:paraId="32D43A59">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 xml:space="preserve">Weiss G., Goodnough L.T. Anemia of Chronic Disease // N. Engl. J. Med. — 2005. — </w:t>
      </w:r>
      <w:r>
        <w:rPr>
          <w:rFonts w:hint="default" w:ascii="Times New Roman" w:hAnsi="Times New Roman" w:cs="Times New Roman"/>
          <w:bCs/>
          <w:sz w:val="28"/>
          <w:szCs w:val="28"/>
          <w:highlight w:val="none"/>
        </w:rPr>
        <w:t>Т</w:t>
      </w:r>
      <w:r>
        <w:rPr>
          <w:rFonts w:hint="default" w:ascii="Times New Roman" w:hAnsi="Times New Roman" w:cs="Times New Roman"/>
          <w:bCs/>
          <w:sz w:val="28"/>
          <w:szCs w:val="28"/>
          <w:highlight w:val="none"/>
          <w:lang w:val="en-US"/>
        </w:rPr>
        <w:t xml:space="preserve">. 352. — </w:t>
      </w:r>
      <w:r>
        <w:rPr>
          <w:rFonts w:hint="default" w:ascii="Times New Roman" w:hAnsi="Times New Roman" w:cs="Times New Roman"/>
          <w:bCs/>
          <w:sz w:val="28"/>
          <w:szCs w:val="28"/>
          <w:highlight w:val="none"/>
        </w:rPr>
        <w:t>Б</w:t>
      </w:r>
      <w:r>
        <w:rPr>
          <w:rFonts w:hint="default" w:ascii="Times New Roman" w:hAnsi="Times New Roman" w:cs="Times New Roman"/>
          <w:bCs/>
          <w:sz w:val="28"/>
          <w:szCs w:val="28"/>
          <w:highlight w:val="none"/>
          <w:lang w:val="en-US"/>
        </w:rPr>
        <w:t>. 1011–1023.</w:t>
      </w:r>
    </w:p>
    <w:p w14:paraId="12CF301E">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Nemeth E., Tuttle M.S., Powelson J., Vaughn M.B., Donovan A., Ward D.M., Ganz T., Kaplan J. Hepcidin Regulates Cellular Iron Efflux by Binding to Ferroportin and Inducing Its Internalization // Science. — 2004. — Т. 306. — Б. 2090–2093. DOI: 10.1126/science.1104742.</w:t>
      </w:r>
    </w:p>
    <w:p w14:paraId="3175A2D3">
      <w:pPr>
        <w:pStyle w:val="11"/>
        <w:widowControl w:val="0"/>
        <w:numPr>
          <w:ilvl w:val="0"/>
          <w:numId w:val="9"/>
        </w:numPr>
        <w:shd w:val="clear"/>
        <w:autoSpaceDE w:val="0"/>
        <w:autoSpaceDN w:val="0"/>
        <w:spacing w:after="0" w:line="240" w:lineRule="auto"/>
        <w:jc w:val="both"/>
        <w:outlineLvl w:val="0"/>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Heinrich P.C., Castell J.V., Andus T. Interleukin–6 and the acute phase response // Biochem. J. — 1990. — Т. 265. — Б. 621–636. DOI: 10.1042/bj2650621</w:t>
      </w:r>
    </w:p>
    <w:p w14:paraId="08F44DC6">
      <w:pPr>
        <w:widowControl w:val="0"/>
        <w:numPr>
          <w:ilvl w:val="0"/>
          <w:numId w:val="9"/>
        </w:numPr>
        <w:shd w:val="clear"/>
        <w:autoSpaceDE w:val="0"/>
        <w:autoSpaceDN w:val="0"/>
        <w:spacing w:after="0" w:line="240" w:lineRule="auto"/>
        <w:jc w:val="both"/>
        <w:outlineLvl w:val="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rPr>
        <w:t xml:space="preserve">Nemeth E., Ganz T. Anemia of Inflammation // Hematol. Oncol. Clin. N. Am. — 2014. — </w:t>
      </w:r>
      <w:r>
        <w:rPr>
          <w:rFonts w:hint="default" w:ascii="Times New Roman" w:hAnsi="Times New Roman" w:cs="Times New Roman"/>
          <w:sz w:val="28"/>
          <w:szCs w:val="28"/>
          <w:highlight w:val="none"/>
        </w:rPr>
        <w:t>Т</w:t>
      </w:r>
      <w:r>
        <w:rPr>
          <w:rFonts w:hint="default" w:ascii="Times New Roman" w:hAnsi="Times New Roman" w:cs="Times New Roman"/>
          <w:sz w:val="28"/>
          <w:szCs w:val="28"/>
          <w:highlight w:val="none"/>
          <w:lang w:val="en-US"/>
        </w:rPr>
        <w:t xml:space="preserve">. 28. — </w:t>
      </w:r>
      <w:r>
        <w:rPr>
          <w:rFonts w:hint="default" w:ascii="Times New Roman" w:hAnsi="Times New Roman" w:cs="Times New Roman"/>
          <w:sz w:val="28"/>
          <w:szCs w:val="28"/>
          <w:highlight w:val="none"/>
        </w:rPr>
        <w:t>Б</w:t>
      </w:r>
      <w:r>
        <w:rPr>
          <w:rFonts w:hint="default" w:ascii="Times New Roman" w:hAnsi="Times New Roman" w:cs="Times New Roman"/>
          <w:sz w:val="28"/>
          <w:szCs w:val="28"/>
          <w:highlight w:val="none"/>
          <w:lang w:val="en-US"/>
        </w:rPr>
        <w:t xml:space="preserve">. 671–681. </w:t>
      </w:r>
      <w:r>
        <w:rPr>
          <w:rFonts w:hint="default" w:ascii="Times New Roman" w:hAnsi="Times New Roman" w:cs="Times New Roman"/>
          <w:sz w:val="28"/>
          <w:szCs w:val="28"/>
          <w:highlight w:val="none"/>
        </w:rPr>
        <w:t>DOI: 10.1016/j.hoc.2014.04.005.</w:t>
      </w:r>
    </w:p>
    <w:p w14:paraId="1F586598">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Srole D.N., Ganz T. Erythroferrone structure, function, and physiology: Iron homeostasis and beyond // J. Cell. Physiol. — 2021. — Т. 236. — Б. 4888–4901. DOI: 10.1002/jcp.30247.</w:t>
      </w:r>
    </w:p>
    <w:p w14:paraId="1D3E48B2">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Hwang H.S., Kwon J.Y., Kim M.A., Park Y.W., Kim Y.H. Maternal serum highly sensitive C–reactive protein in normal pregnancy and pre–eclampsia // Int. J. Gynaecol. Obstet.—2007.—Т. 98.—Б.105–109. DOI: 10.1016/j.ijgo.2007.03.050.</w:t>
      </w:r>
    </w:p>
    <w:p w14:paraId="79778B49">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Teng I.C., Tseng S.H., Aulia B., Shih C.K., Bai C.H., Chang J.S. Can diet–induced weight loss improve iron homoeostasis in patients with obesity: A systematic review and meta–analysis // Obes. Rev.—2020.—Т.21.—Б.13080. DOI: 10.1111/obr.13080.</w:t>
      </w:r>
    </w:p>
    <w:p w14:paraId="7A275951">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Benoist B.D., McLean E., Egll I., Cogswell M. Worldwide Prevalence of Anaemia 1993 2005: WHO Global Database on Anaemia. Worldwide Prevalence of Anaemia 1993 2005: WHO Global Database on Anaemia.–2008. https://www.who.int/publications/i/item/9789241596657 (қолданылған күні: 30.05.2024ж).</w:t>
      </w:r>
    </w:p>
    <w:p w14:paraId="529A648C">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Chung B., Matak P., McKie A.T., Sharp P. Leptin Increases the Expression of the Iron Regulatory Hormone Hepcidin in HuH7 Human Hepatoma Cells // J. Nutr. — 2007. — Т. 137. — Б. 2366–2370. DOI: 10.1093/jn/137.11.2366.</w:t>
      </w:r>
    </w:p>
    <w:p w14:paraId="08102CE6">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Cepeda–Lopez A.C., Melse–Boonstra A., Zimmermann M.B., Herter Aeberli I. In overweight and obese women, dietary iron absorption is reduced and the enhancement of iron absorption by ascorbic acid is one–half that in normal–weight women // Am. J. Clin. Nutr. — 2015. — Т. 102(6) — Б. 1389–1397. DOI: 10.3945/ajcn.114.099218.</w:t>
      </w:r>
    </w:p>
    <w:p w14:paraId="6F972574">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Kaner G., Pekcan A.G., Şarer Yürekli B.P. Effect of a weight loss intervention on iron parameters in overweight and obese Turkish women // Prog. Nutr. — 2019. — Т. 21. — Б. 50–56.</w:t>
      </w:r>
    </w:p>
    <w:p w14:paraId="1484D24C">
      <w:pPr>
        <w:pStyle w:val="11"/>
        <w:widowControl w:val="0"/>
        <w:numPr>
          <w:ilvl w:val="0"/>
          <w:numId w:val="9"/>
        </w:numPr>
        <w:shd w:val="clear"/>
        <w:autoSpaceDE w:val="0"/>
        <w:autoSpaceDN w:val="0"/>
        <w:spacing w:after="0" w:line="240" w:lineRule="auto"/>
        <w:jc w:val="both"/>
        <w:outlineLvl w:val="0"/>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Perez–Perez A., Maymo J., Gambino Y., et al. Leptin stimulates protein synthesis–activating translation machinery in human trophoblastic cells // Biol. Reprod. — 2009. — Т. 81. — Б. 826–832. DOI: 10.1095/biolreprod.109.076513.</w:t>
      </w:r>
    </w:p>
    <w:p w14:paraId="46846A87">
      <w:pPr>
        <w:pStyle w:val="11"/>
        <w:widowControl w:val="0"/>
        <w:numPr>
          <w:ilvl w:val="0"/>
          <w:numId w:val="9"/>
        </w:numPr>
        <w:shd w:val="clear"/>
        <w:autoSpaceDE w:val="0"/>
        <w:autoSpaceDN w:val="0"/>
        <w:spacing w:after="0" w:line="240" w:lineRule="auto"/>
        <w:jc w:val="both"/>
        <w:outlineLvl w:val="0"/>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Van der Wijden C.L., Delemarre–van der Waal H.A., Van Mechelen W., Van Poppel M.N. The concurrent validity between leptin, BMI and skin folds during pregnancy and the year after // Nutr. Diabetes. — 2013. — Т.3. — Б.86. DOI: 10.1038/nutd.2013.27.</w:t>
      </w:r>
    </w:p>
    <w:p w14:paraId="60F78A5E">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Flynn A.C., Begum S., White S.L., Dalrymple K., Gill C., Alwan N.A., Kiely M., Latunde–Dada G., Bell R., Briley A.L., et al. Relationships between maternal obesity and maternal and neonatal iron status // Nutrients. –2018. –Т.10.№8. –Б.1000. DOI: 10.3390/nu10081000</w:t>
      </w:r>
    </w:p>
    <w:p w14:paraId="13842360">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Amin S.B., Orlando M., Wang H. Latent Iron Deficiency in Utero Is Associated with Abnormal Auditory Neural Myelination in ≥35 Weeks Gestational Age Infants // J. Perinatol. — 2013. — Т. 163. — P. 1267–1271. DOI: 10.1016/j.jpeds.2013.06.020.</w:t>
      </w:r>
    </w:p>
    <w:p w14:paraId="4F4DCA94">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MacQueen B.C., Christensen R.D., Baer V.L., Ward D.M., Snow G.L. Screening umbilical cord blood for congenital Iron deficiency // Blood Cells Mol. Dis.—2019.— Т.77.—Б.95–100. DOI: 10.1016/j.bcmd.2019.04.005.</w:t>
      </w:r>
    </w:p>
    <w:p w14:paraId="76616C26">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Baumgartner J., Smuts C.M., Aeberli I., Malan L., Tjalsma H., Zimmermann M.B. Overweight impairs efficacy of iron supplementation in iron–deficient South African children: A randomized controlled intervention // Int. J. Obes. (Lond).—2013.—Т.37.—Б.24–30. DOI: 10.1038/ijo.2012.145.</w:t>
      </w:r>
    </w:p>
    <w:p w14:paraId="127EEC96">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Garcia–Valdes L., Campoy C., Hayes H., Florido J., Rusanova I., Miranda M.T., McArdle H.J. The impact of maternal obesity on iron status, placental transferrin receptor expression and hepcidin expression in human pregnancy // Int J Obes. –2015. –Т.39.№4. –С. 571–578. DOI: 10.1038/ijo.2015.3</w:t>
      </w:r>
    </w:p>
    <w:p w14:paraId="2A46F6DB">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Christian P., Stewart C.P. Maternal micronutrient deficiency, fetal development, and the risk of chronic disease. J Nutr. – 2010. -Т.140.-Б.437–445. DOI: 10.3945/jn.109.116327</w:t>
      </w:r>
    </w:p>
    <w:p w14:paraId="7F790A85">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Vos T., Abajobir A.A., Abate K.H., Abbafati C., Abbas K.M., Abd–Allah F., Abdulkader R.S., Abdulle A.M., Abebo T.A., Abera S.F., et al. Global, regional, and national incidence, prevalence, and years lived with disability for 328 diseases and injuries for 195 countries, 1990–2016: A systematic analysis for the Global Burden of Disease Study 2016 // Lancet. —2017.— Т.390.— Б.1211–1259. DOI: 10.1016/S0140–6736(17)32154–2.</w:t>
      </w:r>
    </w:p>
    <w:p w14:paraId="61957DC9">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Sewell M.F., Huston–Presley L., Super D.M., Catalano P. Increased neonatal fat mass, not lean body mass, is associated with maternal obesity // Am. J. Obstet. Gynecol. — 2006. — Т.195.—Б.1100–1103. DOI: 10.1016/j.ajog.2006.06.014.</w:t>
      </w:r>
    </w:p>
    <w:p w14:paraId="3F077065">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Flores–Quijano M.E., Vega–Sánchez R., Tolentino–Dolores M.C., López Alarcón M.G., Flores–Urrutia M.C., López–Olvera A.D., Talavera J.O. Obesity is associated with changes in iron nutrition status and its homeostatic regulation in pregnancy // Nutrients.–2019. –Т.11.№3. –Б.693. DOI: 10.3390/nu11030693</w:t>
      </w:r>
    </w:p>
    <w:p w14:paraId="1B6FAD82">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Chang J.S., Li Y.L., Lu C.H., Owaga E., Chen W.Y., Chiou H.Y. Interleukin–10 as a potential regulator of hepcidin homeostasis in overweight and obese children: A cross–sectional study in Taiwan // Nutrition.—2014.—Т.30.—Б.1165–1170. DOI: 10.1016/j.nut.2014.02.021.</w:t>
      </w:r>
    </w:p>
    <w:p w14:paraId="26600D66">
      <w:pPr>
        <w:widowControl w:val="0"/>
        <w:numPr>
          <w:ilvl w:val="0"/>
          <w:numId w:val="9"/>
        </w:numPr>
        <w:shd w:val="clear"/>
        <w:autoSpaceDE w:val="0"/>
        <w:autoSpaceDN w:val="0"/>
        <w:spacing w:after="0" w:line="240" w:lineRule="auto"/>
        <w:jc w:val="both"/>
        <w:outlineLvl w:val="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rPr>
        <w:t>Aderibigbe O.R., Pisa P.T., Vorster H.H. and Kruger S.H. The relationship between iron status and adiposity in women from developing countries: A review // Crit Rev Food Sci Nutr. –2014. –</w:t>
      </w:r>
      <w:r>
        <w:rPr>
          <w:rFonts w:hint="default" w:ascii="Times New Roman" w:hAnsi="Times New Roman" w:cs="Times New Roman"/>
          <w:sz w:val="28"/>
          <w:szCs w:val="28"/>
          <w:highlight w:val="none"/>
        </w:rPr>
        <w:t>Т</w:t>
      </w:r>
      <w:r>
        <w:rPr>
          <w:rFonts w:hint="default" w:ascii="Times New Roman" w:hAnsi="Times New Roman" w:cs="Times New Roman"/>
          <w:sz w:val="28"/>
          <w:szCs w:val="28"/>
          <w:highlight w:val="none"/>
          <w:lang w:val="en-US"/>
        </w:rPr>
        <w:t xml:space="preserve">.54. – </w:t>
      </w:r>
      <w:r>
        <w:rPr>
          <w:rFonts w:hint="default" w:ascii="Times New Roman" w:hAnsi="Times New Roman" w:cs="Times New Roman"/>
          <w:sz w:val="28"/>
          <w:szCs w:val="28"/>
          <w:highlight w:val="none"/>
        </w:rPr>
        <w:t>Б</w:t>
      </w:r>
      <w:r>
        <w:rPr>
          <w:rFonts w:hint="default" w:ascii="Times New Roman" w:hAnsi="Times New Roman" w:cs="Times New Roman"/>
          <w:sz w:val="28"/>
          <w:szCs w:val="28"/>
          <w:highlight w:val="none"/>
          <w:lang w:val="en-US"/>
        </w:rPr>
        <w:t xml:space="preserve">.553–560. </w:t>
      </w:r>
      <w:r>
        <w:rPr>
          <w:rFonts w:hint="default" w:ascii="Times New Roman" w:hAnsi="Times New Roman" w:cs="Times New Roman"/>
          <w:sz w:val="28"/>
          <w:szCs w:val="28"/>
          <w:highlight w:val="none"/>
        </w:rPr>
        <w:t>DOI: 10.1080/10408398.2011.594914</w:t>
      </w:r>
    </w:p>
    <w:p w14:paraId="4DEECC3C">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Feelders R.A., Vreugdenhil G., Eggermont A.M., Kuiper–Kramer P.A., Van Eijk H.G., Swaak A.J. Regulation of iron metabolism in the acute–phase response: Interferon gamma and tumour necrosis factor alpha induce hypoferraemia, ferritin production and a decrease in circulating transferrin receptors in cancer patients // Eur. J. Clin. Investig. — 1998. — Т. 28. — Б. 520–527. DOI: 10.1046/j.1365–2362.1998.00323.x.</w:t>
      </w:r>
    </w:p>
    <w:p w14:paraId="5D1DECE4">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Weiss G., Ganz T., Goodnough L.T. Anemia of inflammation // Blood.–2019.–Т. 133, №1.–Б.40–50. DOI: 10.1182/blood-2018-06-856500.</w:t>
      </w:r>
    </w:p>
    <w:p w14:paraId="6015D186">
      <w:pPr>
        <w:pStyle w:val="11"/>
        <w:numPr>
          <w:ilvl w:val="0"/>
          <w:numId w:val="9"/>
        </w:numPr>
        <w:shd w:val="clear"/>
        <w:spacing w:after="0" w:line="240" w:lineRule="auto"/>
        <w:jc w:val="both"/>
        <w:rPr>
          <w:rFonts w:hint="default" w:ascii="Times New Roman" w:hAnsi="Times New Roman" w:cs="Times New Roman"/>
          <w:bCs/>
          <w:sz w:val="28"/>
          <w:szCs w:val="28"/>
          <w:highlight w:val="none"/>
          <w:lang w:val="en-US"/>
        </w:rPr>
      </w:pPr>
      <w:r>
        <w:rPr>
          <w:rFonts w:hint="default" w:ascii="Times New Roman" w:hAnsi="Times New Roman" w:cs="Times New Roman"/>
          <w:bCs/>
          <w:sz w:val="28"/>
          <w:szCs w:val="28"/>
          <w:highlight w:val="none"/>
          <w:lang w:val="en-US"/>
        </w:rPr>
        <w:t>Koenig M.D., Tussing–Humphreys L., Day J., Cadwell B., Nemeth E. Hepcidin and Iron Homeostasis during Pregnancy // Nutrients.—2014.—Т.6.—Б.3062–3083. DOI: 10.3390/nu6083062.</w:t>
      </w:r>
    </w:p>
    <w:p w14:paraId="4013F4B2">
      <w:pPr>
        <w:pStyle w:val="11"/>
        <w:shd w:val="clear"/>
        <w:spacing w:after="0" w:line="240" w:lineRule="auto"/>
        <w:jc w:val="both"/>
        <w:rPr>
          <w:rFonts w:hint="default" w:ascii="Times New Roman" w:hAnsi="Times New Roman" w:cs="Times New Roman"/>
          <w:bCs/>
          <w:sz w:val="28"/>
          <w:szCs w:val="28"/>
          <w:highlight w:val="none"/>
          <w:lang w:val="en-US"/>
        </w:rPr>
      </w:pPr>
    </w:p>
    <w:p w14:paraId="589F2389">
      <w:pPr>
        <w:pStyle w:val="11"/>
        <w:widowControl w:val="0"/>
        <w:shd w:val="clear"/>
        <w:autoSpaceDE w:val="0"/>
        <w:autoSpaceDN w:val="0"/>
        <w:spacing w:after="0" w:line="240" w:lineRule="auto"/>
        <w:jc w:val="both"/>
        <w:outlineLvl w:val="0"/>
        <w:rPr>
          <w:rFonts w:hint="default" w:ascii="Times New Roman" w:hAnsi="Times New Roman" w:cs="Times New Roman"/>
          <w:bCs/>
          <w:sz w:val="28"/>
          <w:szCs w:val="28"/>
          <w:highlight w:val="none"/>
          <w:lang w:val="en-US"/>
        </w:rPr>
      </w:pPr>
    </w:p>
    <w:p w14:paraId="6C23148F">
      <w:pPr>
        <w:shd w:val="clear"/>
        <w:spacing w:after="0" w:line="240" w:lineRule="auto"/>
        <w:jc w:val="both"/>
        <w:rPr>
          <w:rFonts w:hint="default" w:ascii="Times New Roman" w:hAnsi="Times New Roman" w:cs="Times New Roman"/>
          <w:sz w:val="28"/>
          <w:szCs w:val="28"/>
          <w:highlight w:val="none"/>
        </w:rPr>
      </w:pPr>
    </w:p>
    <w:bookmarkEnd w:id="0"/>
    <w:p w14:paraId="2DA47588">
      <w:pPr>
        <w:shd w:val="clear"/>
        <w:spacing w:after="0" w:line="240" w:lineRule="auto"/>
        <w:jc w:val="both"/>
        <w:rPr>
          <w:rFonts w:hint="default" w:ascii="Times New Roman" w:hAnsi="Times New Roman" w:cs="Times New Roman"/>
          <w:sz w:val="28"/>
          <w:szCs w:val="28"/>
          <w:highlight w:val="none"/>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Playbill">
    <w:panose1 w:val="040506030A0602020202"/>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Papyrus">
    <w:panose1 w:val="03070502060502030205"/>
    <w:charset w:val="00"/>
    <w:family w:val="auto"/>
    <w:pitch w:val="default"/>
    <w:sig w:usb0="00000003" w:usb1="00000000" w:usb2="00000000" w:usb3="00000000" w:csb0="20000001" w:csb1="00000000"/>
  </w:font>
  <w:font w:name="Nirmala UI Semilight">
    <w:panose1 w:val="020B0402040204020203"/>
    <w:charset w:val="00"/>
    <w:family w:val="auto"/>
    <w:pitch w:val="default"/>
    <w:sig w:usb0="80FF8023" w:usb1="0000004A" w:usb2="00000200" w:usb3="00040000" w:csb0="00000001" w:csb1="00000000"/>
  </w:font>
  <w:font w:name="Kunstler Script">
    <w:panose1 w:val="030304020206070D0D06"/>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Footlight MT Light">
    <w:panose1 w:val="0204060206030A0203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Verdana Pro Cond Light">
    <w:panose1 w:val="020B0306030504040204"/>
    <w:charset w:val="00"/>
    <w:family w:val="auto"/>
    <w:pitch w:val="default"/>
    <w:sig w:usb0="80000287" w:usb1="00000043" w:usb2="00000000" w:usb3="00000000" w:csb0="2000009F" w:csb1="00000000"/>
  </w:font>
  <w:font w:name="Rockwell Extra Bold">
    <w:panose1 w:val="02060903040505020403"/>
    <w:charset w:val="00"/>
    <w:family w:val="auto"/>
    <w:pitch w:val="default"/>
    <w:sig w:usb0="00000003" w:usb1="00000000" w:usb2="00000000" w:usb3="00000000" w:csb0="20000001" w:csb1="00000000"/>
  </w:font>
  <w:font w:name="Tw Cen MT Condensed">
    <w:panose1 w:val="020B0606020104020203"/>
    <w:charset w:val="00"/>
    <w:family w:val="auto"/>
    <w:pitch w:val="default"/>
    <w:sig w:usb0="00000003" w:usb1="00000000" w:usb2="00000000" w:usb3="00000000" w:csb0="20000003" w:csb1="00000000"/>
  </w:font>
  <w:font w:name="Rage Italic">
    <w:panose1 w:val="030705020405070703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11DAB"/>
    <w:multiLevelType w:val="multilevel"/>
    <w:tmpl w:val="02E11DA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A44DA5"/>
    <w:multiLevelType w:val="multilevel"/>
    <w:tmpl w:val="07A44DA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098B4C47"/>
    <w:multiLevelType w:val="multilevel"/>
    <w:tmpl w:val="098B4C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32E0280"/>
    <w:multiLevelType w:val="multilevel"/>
    <w:tmpl w:val="132E028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5E14683"/>
    <w:multiLevelType w:val="multilevel"/>
    <w:tmpl w:val="35E146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5D54A73"/>
    <w:multiLevelType w:val="multilevel"/>
    <w:tmpl w:val="45D54A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17825C4"/>
    <w:multiLevelType w:val="multilevel"/>
    <w:tmpl w:val="517825C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E4E2D6D"/>
    <w:multiLevelType w:val="multilevel"/>
    <w:tmpl w:val="5E4E2D6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51D5020"/>
    <w:multiLevelType w:val="multilevel"/>
    <w:tmpl w:val="651D50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0"/>
  </w:num>
  <w:num w:numId="3">
    <w:abstractNumId w:val="2"/>
  </w:num>
  <w:num w:numId="4">
    <w:abstractNumId w:val="5"/>
  </w:num>
  <w:num w:numId="5">
    <w:abstractNumId w:val="3"/>
  </w:num>
  <w:num w:numId="6">
    <w:abstractNumId w:val="8"/>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C8"/>
    <w:rsid w:val="00041272"/>
    <w:rsid w:val="000443BB"/>
    <w:rsid w:val="00070429"/>
    <w:rsid w:val="000D4C47"/>
    <w:rsid w:val="000F7F7F"/>
    <w:rsid w:val="00106124"/>
    <w:rsid w:val="0011374E"/>
    <w:rsid w:val="001224CE"/>
    <w:rsid w:val="00130FCB"/>
    <w:rsid w:val="00131A7F"/>
    <w:rsid w:val="00151118"/>
    <w:rsid w:val="00156F70"/>
    <w:rsid w:val="001C10C8"/>
    <w:rsid w:val="0021146A"/>
    <w:rsid w:val="00211A99"/>
    <w:rsid w:val="00212FB2"/>
    <w:rsid w:val="0022421E"/>
    <w:rsid w:val="00225013"/>
    <w:rsid w:val="00227504"/>
    <w:rsid w:val="0024693A"/>
    <w:rsid w:val="00297E19"/>
    <w:rsid w:val="002B187F"/>
    <w:rsid w:val="002C0042"/>
    <w:rsid w:val="002C00B1"/>
    <w:rsid w:val="002C70FB"/>
    <w:rsid w:val="002D20C5"/>
    <w:rsid w:val="002F4269"/>
    <w:rsid w:val="003139F9"/>
    <w:rsid w:val="00315AEE"/>
    <w:rsid w:val="003329A8"/>
    <w:rsid w:val="0035375B"/>
    <w:rsid w:val="003826C5"/>
    <w:rsid w:val="003D33A5"/>
    <w:rsid w:val="003D3F2D"/>
    <w:rsid w:val="003D4D05"/>
    <w:rsid w:val="003D6F35"/>
    <w:rsid w:val="00417D63"/>
    <w:rsid w:val="00426CF7"/>
    <w:rsid w:val="00433F35"/>
    <w:rsid w:val="00442B20"/>
    <w:rsid w:val="004523F1"/>
    <w:rsid w:val="004D4EF4"/>
    <w:rsid w:val="004D6171"/>
    <w:rsid w:val="00526C51"/>
    <w:rsid w:val="006675A5"/>
    <w:rsid w:val="006A51A5"/>
    <w:rsid w:val="006E2332"/>
    <w:rsid w:val="007254FF"/>
    <w:rsid w:val="007D199D"/>
    <w:rsid w:val="007F360C"/>
    <w:rsid w:val="00857348"/>
    <w:rsid w:val="008A7A35"/>
    <w:rsid w:val="008D19E6"/>
    <w:rsid w:val="00913B78"/>
    <w:rsid w:val="00926042"/>
    <w:rsid w:val="00964B50"/>
    <w:rsid w:val="009B004F"/>
    <w:rsid w:val="009B3568"/>
    <w:rsid w:val="009D440E"/>
    <w:rsid w:val="009E1DE6"/>
    <w:rsid w:val="009E6055"/>
    <w:rsid w:val="00A10821"/>
    <w:rsid w:val="00A128CB"/>
    <w:rsid w:val="00A31155"/>
    <w:rsid w:val="00A9062E"/>
    <w:rsid w:val="00A9440F"/>
    <w:rsid w:val="00AE29CB"/>
    <w:rsid w:val="00AE6626"/>
    <w:rsid w:val="00B07F23"/>
    <w:rsid w:val="00B12288"/>
    <w:rsid w:val="00B1627D"/>
    <w:rsid w:val="00B53CC8"/>
    <w:rsid w:val="00B75C1C"/>
    <w:rsid w:val="00BF237F"/>
    <w:rsid w:val="00C01072"/>
    <w:rsid w:val="00C4210A"/>
    <w:rsid w:val="00C426C8"/>
    <w:rsid w:val="00C5749D"/>
    <w:rsid w:val="00D12A7B"/>
    <w:rsid w:val="00D343F3"/>
    <w:rsid w:val="00D62BF5"/>
    <w:rsid w:val="00D971A4"/>
    <w:rsid w:val="00D975EF"/>
    <w:rsid w:val="00DA20AF"/>
    <w:rsid w:val="00DC1724"/>
    <w:rsid w:val="00E16512"/>
    <w:rsid w:val="00E2388C"/>
    <w:rsid w:val="00E45430"/>
    <w:rsid w:val="00E56DCD"/>
    <w:rsid w:val="00E622F6"/>
    <w:rsid w:val="00EC7F77"/>
    <w:rsid w:val="00F150D8"/>
    <w:rsid w:val="00F555E4"/>
    <w:rsid w:val="00F66920"/>
    <w:rsid w:val="00F7174C"/>
    <w:rsid w:val="00F87B15"/>
    <w:rsid w:val="00F91315"/>
    <w:rsid w:val="00FA4FFC"/>
    <w:rsid w:val="0F4B77A5"/>
    <w:rsid w:val="23555288"/>
    <w:rsid w:val="2957458A"/>
    <w:rsid w:val="3E2002F2"/>
    <w:rsid w:val="551556A5"/>
    <w:rsid w:val="5A3F5D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Balloon Text"/>
    <w:basedOn w:val="1"/>
    <w:link w:val="12"/>
    <w:semiHidden/>
    <w:unhideWhenUsed/>
    <w:uiPriority w:val="99"/>
    <w:pPr>
      <w:spacing w:after="0" w:line="240" w:lineRule="auto"/>
    </w:pPr>
    <w:rPr>
      <w:rFonts w:ascii="Tahoma" w:hAnsi="Tahoma" w:cs="Tahoma"/>
      <w:sz w:val="16"/>
      <w:szCs w:val="16"/>
    </w:r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9">
    <w:name w:val="Заголовок 3 Знак"/>
    <w:basedOn w:val="3"/>
    <w:link w:val="2"/>
    <w:uiPriority w:val="9"/>
    <w:rPr>
      <w:rFonts w:ascii="Times New Roman" w:hAnsi="Times New Roman" w:eastAsia="Times New Roman" w:cs="Times New Roman"/>
      <w:b/>
      <w:bCs/>
      <w:sz w:val="27"/>
      <w:szCs w:val="27"/>
      <w:lang w:eastAsia="ru-RU"/>
    </w:rPr>
  </w:style>
  <w:style w:type="paragraph" w:customStyle="1" w:styleId="10">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List Paragraph"/>
    <w:basedOn w:val="1"/>
    <w:qFormat/>
    <w:uiPriority w:val="34"/>
    <w:pPr>
      <w:ind w:left="720"/>
      <w:contextualSpacing/>
    </w:pPr>
  </w:style>
  <w:style w:type="character" w:customStyle="1" w:styleId="12">
    <w:name w:val="Текст выноски Знак"/>
    <w:basedOn w:val="3"/>
    <w:link w:val="7"/>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13</Pages>
  <Words>4412</Words>
  <Characters>25149</Characters>
  <Lines>209</Lines>
  <Paragraphs>59</Paragraphs>
  <TotalTime>93</TotalTime>
  <ScaleCrop>false</ScaleCrop>
  <LinksUpToDate>false</LinksUpToDate>
  <CharactersWithSpaces>29502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2025-05-06T01:20:00Z</dcterms:created>
  <dc:creator>Пользователь</dc:creator>
  <cp:lastModifiedBy>kgmuuser</cp:lastModifiedBy>
  <dcterms:modified xsi:type="dcterms:W3CDTF">2025-05-06T11:22:56Z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A9E1042F1E20483994590AA87DA8EEBF_13</vt:lpwstr>
  </property>
</Properties>
</file>